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09A17" w14:textId="3BCDEB2D" w:rsidR="00B84D5F" w:rsidRPr="00A1501C" w:rsidRDefault="00B84D5F" w:rsidP="00A1501C">
      <w:pPr>
        <w:jc w:val="center"/>
        <w:rPr>
          <w:b/>
          <w:sz w:val="28"/>
          <w:szCs w:val="28"/>
          <w:lang w:eastAsia="zh-CN"/>
        </w:rPr>
      </w:pPr>
      <w:r w:rsidRPr="00A1501C">
        <w:rPr>
          <w:b/>
          <w:sz w:val="28"/>
          <w:szCs w:val="28"/>
        </w:rPr>
        <w:t>Effect of round-the-world surface seismic waves in the dynamics of</w:t>
      </w:r>
      <w:r w:rsidR="00A1501C" w:rsidRPr="00A1501C">
        <w:rPr>
          <w:b/>
          <w:sz w:val="28"/>
          <w:szCs w:val="28"/>
        </w:rPr>
        <w:t xml:space="preserve"> </w:t>
      </w:r>
      <w:r w:rsidRPr="00A1501C">
        <w:rPr>
          <w:b/>
          <w:sz w:val="28"/>
          <w:szCs w:val="28"/>
        </w:rPr>
        <w:t xml:space="preserve">repeated shocks of strong earthquakes </w:t>
      </w:r>
      <w:r w:rsidRPr="00A1501C">
        <w:rPr>
          <w:b/>
          <w:sz w:val="28"/>
          <w:szCs w:val="28"/>
          <w:lang w:eastAsia="zh-CN"/>
        </w:rPr>
        <w:t>- statistical properties</w:t>
      </w:r>
    </w:p>
    <w:p w14:paraId="6B4342C7" w14:textId="7EEEB532" w:rsidR="00A1501C" w:rsidRPr="00A1501C" w:rsidRDefault="00A1501C" w:rsidP="00A1501C">
      <w:pPr>
        <w:jc w:val="center"/>
        <w:rPr>
          <w:sz w:val="22"/>
          <w:szCs w:val="22"/>
        </w:rPr>
      </w:pPr>
      <w:r w:rsidRPr="00A1501C">
        <w:rPr>
          <w:sz w:val="22"/>
          <w:szCs w:val="22"/>
        </w:rPr>
        <w:t xml:space="preserve">Zavyalov A.D., </w:t>
      </w:r>
      <w:proofErr w:type="spellStart"/>
      <w:r w:rsidRPr="00A1501C">
        <w:rPr>
          <w:sz w:val="22"/>
          <w:szCs w:val="22"/>
        </w:rPr>
        <w:t>Zotov</w:t>
      </w:r>
      <w:proofErr w:type="spellEnd"/>
      <w:r w:rsidRPr="00A1501C">
        <w:rPr>
          <w:sz w:val="22"/>
          <w:szCs w:val="22"/>
        </w:rPr>
        <w:t xml:space="preserve"> O.D., </w:t>
      </w:r>
      <w:proofErr w:type="spellStart"/>
      <w:r w:rsidRPr="00A1501C">
        <w:rPr>
          <w:sz w:val="22"/>
          <w:szCs w:val="22"/>
        </w:rPr>
        <w:t>Guglielmi</w:t>
      </w:r>
      <w:proofErr w:type="spellEnd"/>
      <w:r w:rsidRPr="00A1501C">
        <w:rPr>
          <w:sz w:val="22"/>
          <w:szCs w:val="22"/>
        </w:rPr>
        <w:t xml:space="preserve"> A.V., </w:t>
      </w:r>
      <w:proofErr w:type="spellStart"/>
      <w:r w:rsidRPr="00A1501C">
        <w:rPr>
          <w:sz w:val="22"/>
          <w:szCs w:val="22"/>
        </w:rPr>
        <w:t>Lavrov</w:t>
      </w:r>
      <w:proofErr w:type="spellEnd"/>
      <w:r w:rsidRPr="00A1501C">
        <w:rPr>
          <w:sz w:val="22"/>
          <w:szCs w:val="22"/>
        </w:rPr>
        <w:t xml:space="preserve"> I.P.</w:t>
      </w:r>
    </w:p>
    <w:p w14:paraId="6D9A6CF9" w14:textId="681F10F0" w:rsidR="00A1501C" w:rsidRPr="00A1501C" w:rsidRDefault="00BA5A75" w:rsidP="00A1501C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Schmidt </w:t>
      </w:r>
      <w:r w:rsidR="00A1501C" w:rsidRPr="00A1501C">
        <w:rPr>
          <w:i/>
          <w:sz w:val="22"/>
          <w:szCs w:val="22"/>
        </w:rPr>
        <w:t>Institute of Physics of the Earth RAS, Moscow, Russia</w:t>
      </w:r>
      <w:r w:rsidRPr="00A1501C">
        <w:rPr>
          <w:i/>
          <w:sz w:val="22"/>
          <w:szCs w:val="22"/>
        </w:rPr>
        <w:t>, zavyalov@ifz.ru</w:t>
      </w:r>
    </w:p>
    <w:p w14:paraId="6D6232C9" w14:textId="77777777" w:rsidR="00A1501C" w:rsidRDefault="00A1501C" w:rsidP="00F1278F">
      <w:pPr>
        <w:jc w:val="center"/>
        <w:rPr>
          <w:sz w:val="22"/>
          <w:szCs w:val="22"/>
          <w:lang w:eastAsia="zh-CN"/>
        </w:rPr>
      </w:pPr>
    </w:p>
    <w:p w14:paraId="338503F8" w14:textId="31849256" w:rsidR="00F1278F" w:rsidRPr="00F62099" w:rsidRDefault="00F1278F" w:rsidP="005B1539">
      <w:pPr>
        <w:widowControl/>
        <w:autoSpaceDE w:val="0"/>
        <w:autoSpaceDN w:val="0"/>
        <w:adjustRightInd w:val="0"/>
        <w:rPr>
          <w:i/>
          <w:sz w:val="22"/>
          <w:szCs w:val="22"/>
          <w:lang w:eastAsia="zh-CN"/>
        </w:rPr>
      </w:pPr>
      <w:r w:rsidRPr="00F62099">
        <w:rPr>
          <w:b/>
          <w:sz w:val="22"/>
          <w:szCs w:val="22"/>
          <w:lang w:eastAsia="zh-CN"/>
        </w:rPr>
        <w:t>Key Words:</w:t>
      </w:r>
      <w:r w:rsidRPr="00F62099">
        <w:rPr>
          <w:sz w:val="22"/>
          <w:szCs w:val="22"/>
          <w:lang w:eastAsia="zh-CN"/>
        </w:rPr>
        <w:t xml:space="preserve"> </w:t>
      </w:r>
      <w:r w:rsidR="005B1539" w:rsidRPr="005B1539">
        <w:rPr>
          <w:rFonts w:eastAsiaTheme="minorEastAsia"/>
          <w:snapToGrid/>
          <w:sz w:val="22"/>
          <w:szCs w:val="22"/>
          <w:lang w:eastAsia="zh-CN"/>
        </w:rPr>
        <w:t>earthquake, a round-the-world surface seismi</w:t>
      </w:r>
      <w:r w:rsidR="005B1539">
        <w:rPr>
          <w:rFonts w:eastAsiaTheme="minorEastAsia"/>
          <w:snapToGrid/>
          <w:sz w:val="22"/>
          <w:szCs w:val="22"/>
          <w:lang w:eastAsia="zh-CN"/>
        </w:rPr>
        <w:t>c wave, aftershock, main shock.</w:t>
      </w:r>
    </w:p>
    <w:p w14:paraId="26AA36AD" w14:textId="77777777" w:rsidR="00BA5A75" w:rsidRDefault="00BA5A75" w:rsidP="009B7224">
      <w:pPr>
        <w:widowControl/>
        <w:autoSpaceDE w:val="0"/>
        <w:autoSpaceDN w:val="0"/>
        <w:adjustRightInd w:val="0"/>
        <w:rPr>
          <w:sz w:val="22"/>
          <w:szCs w:val="22"/>
        </w:rPr>
      </w:pPr>
    </w:p>
    <w:p w14:paraId="149792AB" w14:textId="6A926F4B" w:rsidR="004738E4" w:rsidRPr="009B7224" w:rsidRDefault="00F23F51" w:rsidP="002016C8">
      <w:pPr>
        <w:widowControl/>
        <w:autoSpaceDE w:val="0"/>
        <w:autoSpaceDN w:val="0"/>
        <w:adjustRightInd w:val="0"/>
        <w:jc w:val="both"/>
        <w:rPr>
          <w:sz w:val="22"/>
          <w:szCs w:val="22"/>
          <w:lang w:eastAsia="zh-CN"/>
        </w:rPr>
      </w:pPr>
      <w:r w:rsidRPr="007D2146">
        <w:rPr>
          <w:sz w:val="22"/>
          <w:szCs w:val="22"/>
        </w:rPr>
        <w:t xml:space="preserve">The existence of the effect of the round-the-world </w:t>
      </w:r>
      <w:r w:rsidR="00F54880" w:rsidRPr="007D2146">
        <w:rPr>
          <w:sz w:val="22"/>
          <w:szCs w:val="22"/>
        </w:rPr>
        <w:t xml:space="preserve">surface </w:t>
      </w:r>
      <w:r w:rsidRPr="007D2146">
        <w:rPr>
          <w:sz w:val="22"/>
          <w:szCs w:val="22"/>
        </w:rPr>
        <w:t xml:space="preserve">seismic </w:t>
      </w:r>
      <w:r w:rsidR="00F54880" w:rsidRPr="007D2146">
        <w:rPr>
          <w:sz w:val="22"/>
          <w:szCs w:val="22"/>
        </w:rPr>
        <w:t>waves (“</w:t>
      </w:r>
      <w:r w:rsidR="00F54880" w:rsidRPr="004818DF">
        <w:rPr>
          <w:i/>
          <w:sz w:val="22"/>
          <w:szCs w:val="22"/>
        </w:rPr>
        <w:t xml:space="preserve">seismic </w:t>
      </w:r>
      <w:r w:rsidRPr="004818DF">
        <w:rPr>
          <w:i/>
          <w:sz w:val="22"/>
          <w:szCs w:val="22"/>
        </w:rPr>
        <w:t>echo</w:t>
      </w:r>
      <w:r w:rsidR="00F54880" w:rsidRPr="007D2146">
        <w:rPr>
          <w:sz w:val="22"/>
          <w:szCs w:val="22"/>
        </w:rPr>
        <w:t>”)</w:t>
      </w:r>
      <w:r w:rsidRPr="007D2146">
        <w:rPr>
          <w:sz w:val="22"/>
          <w:szCs w:val="22"/>
        </w:rPr>
        <w:t xml:space="preserve"> </w:t>
      </w:r>
      <w:r w:rsidR="009B7224">
        <w:rPr>
          <w:sz w:val="22"/>
          <w:szCs w:val="22"/>
        </w:rPr>
        <w:t xml:space="preserve">in evolution of aftershock process </w:t>
      </w:r>
      <w:r w:rsidRPr="007D2146">
        <w:rPr>
          <w:sz w:val="22"/>
          <w:szCs w:val="22"/>
        </w:rPr>
        <w:t xml:space="preserve">was shown in the work on a broad evidence base, including hundreds of the main shocks and thousands of aftershocks. The effect is that the surface waves excited in the earthquake source by the main shock makes a complete revolution around the Earth and excites strong aftershock in the </w:t>
      </w:r>
      <w:proofErr w:type="spellStart"/>
      <w:r w:rsidRPr="007D2146">
        <w:rPr>
          <w:sz w:val="22"/>
          <w:szCs w:val="22"/>
        </w:rPr>
        <w:t>epicentral</w:t>
      </w:r>
      <w:proofErr w:type="spellEnd"/>
      <w:r w:rsidRPr="007D2146">
        <w:rPr>
          <w:sz w:val="22"/>
          <w:szCs w:val="22"/>
        </w:rPr>
        <w:t xml:space="preserve"> area of the main shock. The physical nature of the effect is that a critical concentration of wave energy in epicenter is created by converging surface waves under achieving of </w:t>
      </w:r>
      <w:proofErr w:type="spellStart"/>
      <w:r w:rsidRPr="007D2146">
        <w:rPr>
          <w:sz w:val="22"/>
          <w:szCs w:val="22"/>
        </w:rPr>
        <w:t>epicentral</w:t>
      </w:r>
      <w:proofErr w:type="spellEnd"/>
      <w:r w:rsidRPr="007D2146">
        <w:rPr>
          <w:sz w:val="22"/>
          <w:szCs w:val="22"/>
        </w:rPr>
        <w:t xml:space="preserve"> area.</w:t>
      </w:r>
      <w:r w:rsidR="00F54880" w:rsidRPr="007D2146">
        <w:rPr>
          <w:sz w:val="22"/>
          <w:szCs w:val="22"/>
        </w:rPr>
        <w:t xml:space="preserve"> Effect of the first seismic echo is manifested most clearly. For the statistical analysis of the dynamics of the seismic events flow after strong earthquakes (main shocks)</w:t>
      </w:r>
      <w:r w:rsidR="007D2146" w:rsidRPr="007D2146">
        <w:rPr>
          <w:sz w:val="22"/>
          <w:szCs w:val="22"/>
        </w:rPr>
        <w:t xml:space="preserve">, </w:t>
      </w:r>
      <w:r w:rsidR="007D2146" w:rsidRPr="007D2146">
        <w:rPr>
          <w:rFonts w:eastAsiaTheme="minorEastAsia"/>
          <w:snapToGrid/>
          <w:sz w:val="22"/>
          <w:szCs w:val="22"/>
          <w:lang w:eastAsia="zh-CN"/>
        </w:rPr>
        <w:t xml:space="preserve">shocks), we selected several </w:t>
      </w:r>
      <w:r w:rsidR="007D2146" w:rsidRPr="009B7224">
        <w:rPr>
          <w:rFonts w:eastAsiaTheme="minorEastAsia"/>
          <w:snapToGrid/>
          <w:sz w:val="22"/>
          <w:szCs w:val="22"/>
          <w:lang w:eastAsia="zh-CN"/>
        </w:rPr>
        <w:t xml:space="preserve">datasets from a long time series of the earthquakes contained in </w:t>
      </w:r>
      <w:r w:rsidR="00F54880" w:rsidRPr="009B7224">
        <w:rPr>
          <w:sz w:val="22"/>
          <w:szCs w:val="22"/>
        </w:rPr>
        <w:t xml:space="preserve">the global catalog USGS/NEIC for the period 1973-2014 and </w:t>
      </w:r>
      <w:r w:rsidR="009B7224" w:rsidRPr="009B7224">
        <w:rPr>
          <w:sz w:val="22"/>
          <w:szCs w:val="22"/>
        </w:rPr>
        <w:t xml:space="preserve">in </w:t>
      </w:r>
      <w:r w:rsidR="00F54880" w:rsidRPr="009B7224">
        <w:rPr>
          <w:sz w:val="22"/>
          <w:szCs w:val="22"/>
        </w:rPr>
        <w:t>the regional catalog of Northern California for the period 1968-2007.</w:t>
      </w:r>
      <w:r w:rsidR="009B7224" w:rsidRPr="009B7224">
        <w:rPr>
          <w:sz w:val="22"/>
          <w:szCs w:val="22"/>
        </w:rPr>
        <w:t xml:space="preserve"> </w:t>
      </w:r>
      <w:r w:rsidR="009B7224" w:rsidRPr="009B7224">
        <w:rPr>
          <w:rFonts w:eastAsiaTheme="minorEastAsia"/>
          <w:snapToGrid/>
          <w:sz w:val="22"/>
          <w:szCs w:val="22"/>
          <w:lang w:eastAsia="zh-CN"/>
        </w:rPr>
        <w:t>For data processing and efficiently detecting the effect of a seismic echo, we used an algorithm based on the well-known superposed epoch analysis, or synchronous detection method.</w:t>
      </w:r>
      <w:r w:rsidR="001F38EE">
        <w:rPr>
          <w:rFonts w:eastAsiaTheme="minorEastAsia"/>
          <w:snapToGrid/>
          <w:sz w:val="22"/>
          <w:szCs w:val="22"/>
          <w:lang w:eastAsia="zh-CN"/>
        </w:rPr>
        <w:t xml:space="preserve"> </w:t>
      </w:r>
      <w:r w:rsidR="007D2146" w:rsidRPr="007D2146">
        <w:rPr>
          <w:sz w:val="22"/>
          <w:szCs w:val="22"/>
          <w:lang w:eastAsia="zh-CN"/>
        </w:rPr>
        <w:t>In Fig. 1 shows the accumulated sequences of normalized magnitude of repeated shocks</w:t>
      </w:r>
      <w:r w:rsidR="007D2146">
        <w:rPr>
          <w:sz w:val="22"/>
          <w:szCs w:val="22"/>
          <w:lang w:eastAsia="zh-CN"/>
        </w:rPr>
        <w:t xml:space="preserve"> are shown</w:t>
      </w:r>
      <w:r w:rsidR="007D2146" w:rsidRPr="007D2146">
        <w:rPr>
          <w:sz w:val="22"/>
          <w:szCs w:val="22"/>
          <w:lang w:eastAsia="zh-CN"/>
        </w:rPr>
        <w:t xml:space="preserve">. The effect of the seismic echo (black curve) is shown in comparison with the events in which the effect was absent (the gray curve) for the main shocks with magnitudes </w:t>
      </w:r>
      <w:r w:rsidR="007D2146" w:rsidRPr="004818DF">
        <w:rPr>
          <w:i/>
          <w:sz w:val="22"/>
          <w:szCs w:val="22"/>
          <w:lang w:eastAsia="zh-CN"/>
        </w:rPr>
        <w:t>M</w:t>
      </w:r>
      <w:r w:rsidR="007D2146" w:rsidRPr="007D2146">
        <w:rPr>
          <w:sz w:val="22"/>
          <w:szCs w:val="22"/>
          <w:lang w:eastAsia="zh-CN"/>
        </w:rPr>
        <w:t xml:space="preserve"> </w:t>
      </w:r>
      <w:r w:rsidR="007D2146">
        <w:rPr>
          <w:sz w:val="22"/>
          <w:szCs w:val="22"/>
          <w:lang w:eastAsia="zh-CN"/>
        </w:rPr>
        <w:t>≥</w:t>
      </w:r>
      <w:r w:rsidR="007D2146" w:rsidRPr="007D2146">
        <w:rPr>
          <w:sz w:val="22"/>
          <w:szCs w:val="22"/>
          <w:lang w:eastAsia="zh-CN"/>
        </w:rPr>
        <w:t xml:space="preserve"> 7.5 (Fig. 1</w:t>
      </w:r>
      <w:r w:rsidR="001F38EE">
        <w:rPr>
          <w:sz w:val="22"/>
          <w:szCs w:val="22"/>
          <w:lang w:eastAsia="zh-CN"/>
        </w:rPr>
        <w:t>a</w:t>
      </w:r>
      <w:r w:rsidR="007D2146" w:rsidRPr="007D2146">
        <w:rPr>
          <w:sz w:val="22"/>
          <w:szCs w:val="22"/>
          <w:lang w:eastAsia="zh-CN"/>
        </w:rPr>
        <w:t xml:space="preserve">), 7 </w:t>
      </w:r>
      <w:r w:rsidR="007D2146">
        <w:rPr>
          <w:sz w:val="22"/>
          <w:szCs w:val="22"/>
          <w:lang w:eastAsia="zh-CN"/>
        </w:rPr>
        <w:t>≤</w:t>
      </w:r>
      <w:r w:rsidR="007D2146" w:rsidRPr="007D2146">
        <w:rPr>
          <w:sz w:val="22"/>
          <w:szCs w:val="22"/>
          <w:lang w:eastAsia="zh-CN"/>
        </w:rPr>
        <w:t xml:space="preserve"> </w:t>
      </w:r>
      <w:r w:rsidR="007D2146" w:rsidRPr="004818DF">
        <w:rPr>
          <w:i/>
          <w:sz w:val="22"/>
          <w:szCs w:val="22"/>
          <w:lang w:eastAsia="zh-CN"/>
        </w:rPr>
        <w:t>M</w:t>
      </w:r>
      <w:r w:rsidR="007D2146" w:rsidRPr="007D2146">
        <w:rPr>
          <w:sz w:val="22"/>
          <w:szCs w:val="22"/>
          <w:lang w:eastAsia="zh-CN"/>
        </w:rPr>
        <w:t xml:space="preserve"> &lt;</w:t>
      </w:r>
      <w:r w:rsidR="004818DF">
        <w:rPr>
          <w:sz w:val="22"/>
          <w:szCs w:val="22"/>
          <w:lang w:eastAsia="zh-CN"/>
        </w:rPr>
        <w:t xml:space="preserve"> </w:t>
      </w:r>
      <w:r w:rsidR="007D2146" w:rsidRPr="007D2146">
        <w:rPr>
          <w:sz w:val="22"/>
          <w:szCs w:val="22"/>
          <w:lang w:eastAsia="zh-CN"/>
        </w:rPr>
        <w:t xml:space="preserve">7.5 (Fig. </w:t>
      </w:r>
      <w:r w:rsidR="001F38EE">
        <w:rPr>
          <w:sz w:val="22"/>
          <w:szCs w:val="22"/>
          <w:lang w:eastAsia="zh-CN"/>
        </w:rPr>
        <w:t>1b</w:t>
      </w:r>
      <w:r w:rsidR="007D2146" w:rsidRPr="007D2146">
        <w:rPr>
          <w:sz w:val="22"/>
          <w:szCs w:val="22"/>
          <w:lang w:eastAsia="zh-CN"/>
        </w:rPr>
        <w:t xml:space="preserve">), </w:t>
      </w:r>
      <w:r w:rsidR="007D2146" w:rsidRPr="004818DF">
        <w:rPr>
          <w:i/>
          <w:sz w:val="22"/>
          <w:szCs w:val="22"/>
          <w:lang w:eastAsia="zh-CN"/>
        </w:rPr>
        <w:t>M</w:t>
      </w:r>
      <w:r w:rsidR="007D2146" w:rsidRPr="007D2146">
        <w:rPr>
          <w:sz w:val="22"/>
          <w:szCs w:val="22"/>
          <w:lang w:eastAsia="zh-CN"/>
        </w:rPr>
        <w:t xml:space="preserve"> </w:t>
      </w:r>
      <w:r w:rsidR="007D2146">
        <w:rPr>
          <w:sz w:val="22"/>
          <w:szCs w:val="22"/>
          <w:lang w:eastAsia="zh-CN"/>
        </w:rPr>
        <w:t>≥</w:t>
      </w:r>
      <w:r w:rsidR="007D2146" w:rsidRPr="007D2146">
        <w:rPr>
          <w:sz w:val="22"/>
          <w:szCs w:val="22"/>
          <w:lang w:eastAsia="zh-CN"/>
        </w:rPr>
        <w:t xml:space="preserve"> 5.5 (Fig. </w:t>
      </w:r>
      <w:r w:rsidR="001F38EE">
        <w:rPr>
          <w:sz w:val="22"/>
          <w:szCs w:val="22"/>
          <w:lang w:eastAsia="zh-CN"/>
        </w:rPr>
        <w:t>1c</w:t>
      </w:r>
      <w:r w:rsidR="007D2146" w:rsidRPr="007D2146">
        <w:rPr>
          <w:sz w:val="22"/>
          <w:szCs w:val="22"/>
          <w:lang w:eastAsia="zh-CN"/>
        </w:rPr>
        <w:t xml:space="preserve">). Vertical dotted line in the pictures marks the time of the maximum effect of </w:t>
      </w:r>
      <w:r w:rsidR="001F38EE">
        <w:rPr>
          <w:sz w:val="22"/>
          <w:szCs w:val="22"/>
          <w:lang w:eastAsia="zh-CN"/>
        </w:rPr>
        <w:t xml:space="preserve">the first round-the-world echo. </w:t>
      </w:r>
      <w:r w:rsidR="004738E4" w:rsidRPr="009B7224">
        <w:rPr>
          <w:sz w:val="22"/>
          <w:szCs w:val="22"/>
          <w:lang w:eastAsia="zh-CN"/>
        </w:rPr>
        <w:t xml:space="preserve">The detected phenomenon of the seismic echo can be used to increase the probability of a forecast of a strong aftershock in determining the scenario of seismic process in the </w:t>
      </w:r>
      <w:proofErr w:type="spellStart"/>
      <w:r w:rsidR="004738E4" w:rsidRPr="009B7224">
        <w:rPr>
          <w:sz w:val="22"/>
          <w:szCs w:val="22"/>
          <w:lang w:eastAsia="zh-CN"/>
        </w:rPr>
        <w:t>epicentral</w:t>
      </w:r>
      <w:proofErr w:type="spellEnd"/>
      <w:r w:rsidR="004738E4" w:rsidRPr="009B7224">
        <w:rPr>
          <w:sz w:val="22"/>
          <w:szCs w:val="22"/>
          <w:lang w:eastAsia="zh-CN"/>
        </w:rPr>
        <w:t xml:space="preserve"> zone of </w:t>
      </w:r>
      <w:r w:rsidR="004738E4" w:rsidRPr="009B7224">
        <w:rPr>
          <w:sz w:val="22"/>
          <w:szCs w:val="22"/>
        </w:rPr>
        <w:t>occurred strong earthquake</w:t>
      </w:r>
      <w:r w:rsidR="004738E4" w:rsidRPr="009B7224">
        <w:rPr>
          <w:sz w:val="22"/>
          <w:szCs w:val="22"/>
          <w:lang w:eastAsia="zh-CN"/>
        </w:rPr>
        <w:t>.</w:t>
      </w:r>
    </w:p>
    <w:p w14:paraId="47DCF61F" w14:textId="21F99A6D" w:rsidR="004738E4" w:rsidRDefault="004738E4" w:rsidP="00CB452E">
      <w:pPr>
        <w:widowControl/>
        <w:autoSpaceDE w:val="0"/>
        <w:autoSpaceDN w:val="0"/>
        <w:adjustRightInd w:val="0"/>
        <w:ind w:firstLine="420"/>
        <w:jc w:val="both"/>
        <w:rPr>
          <w:sz w:val="22"/>
          <w:szCs w:val="22"/>
          <w:lang w:eastAsia="zh-CN"/>
        </w:rPr>
      </w:pPr>
      <w:r w:rsidRPr="00CF2C47">
        <w:rPr>
          <w:sz w:val="22"/>
          <w:szCs w:val="22"/>
          <w:lang w:eastAsia="zh-CN"/>
        </w:rPr>
        <w:t xml:space="preserve">This work was supported </w:t>
      </w:r>
      <w:r w:rsidR="00CF2C47" w:rsidRPr="00CF2C47">
        <w:rPr>
          <w:sz w:val="22"/>
          <w:szCs w:val="22"/>
        </w:rPr>
        <w:t>by the Russian Foundation for Basic Research</w:t>
      </w:r>
      <w:r w:rsidRPr="00CF2C47">
        <w:rPr>
          <w:sz w:val="22"/>
          <w:szCs w:val="22"/>
          <w:lang w:eastAsia="zh-CN"/>
        </w:rPr>
        <w:t xml:space="preserve">, project </w:t>
      </w:r>
      <w:r w:rsidR="009B7224">
        <w:rPr>
          <w:sz w:val="22"/>
          <w:szCs w:val="22"/>
          <w:lang w:eastAsia="zh-CN"/>
        </w:rPr>
        <w:t>#</w:t>
      </w:r>
      <w:r w:rsidR="00484C72">
        <w:rPr>
          <w:sz w:val="22"/>
          <w:szCs w:val="22"/>
          <w:lang w:eastAsia="zh-CN"/>
        </w:rPr>
        <w:t xml:space="preserve"> </w:t>
      </w:r>
      <w:r w:rsidRPr="00CF2C47">
        <w:rPr>
          <w:sz w:val="22"/>
          <w:szCs w:val="22"/>
          <w:lang w:eastAsia="zh-CN"/>
        </w:rPr>
        <w:t>1</w:t>
      </w:r>
      <w:r w:rsidR="00914AD6">
        <w:rPr>
          <w:sz w:val="22"/>
          <w:szCs w:val="22"/>
          <w:lang w:eastAsia="zh-CN"/>
        </w:rPr>
        <w:t>8</w:t>
      </w:r>
      <w:r w:rsidRPr="00CF2C47">
        <w:rPr>
          <w:sz w:val="22"/>
          <w:szCs w:val="22"/>
          <w:lang w:eastAsia="zh-CN"/>
        </w:rPr>
        <w:t>-05-00096.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2552"/>
        <w:gridCol w:w="2805"/>
      </w:tblGrid>
      <w:tr w:rsidR="00484C72" w:rsidRPr="00484C72" w14:paraId="5CC6B489" w14:textId="77777777" w:rsidTr="00CB452E">
        <w:trPr>
          <w:trHeight w:val="1361"/>
        </w:trPr>
        <w:tc>
          <w:tcPr>
            <w:tcW w:w="3005" w:type="dxa"/>
          </w:tcPr>
          <w:p w14:paraId="562E49F7" w14:textId="42FED2EB" w:rsidR="00484C72" w:rsidRPr="00484C72" w:rsidRDefault="00484C72" w:rsidP="00EA4F0F">
            <w:pPr>
              <w:widowControl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84C72">
              <w:rPr>
                <w:noProof/>
                <w:snapToGrid/>
                <w:sz w:val="16"/>
                <w:szCs w:val="16"/>
                <w:lang w:val="ru-RU" w:eastAsia="ru-RU"/>
              </w:rPr>
              <w:drawing>
                <wp:inline distT="0" distB="0" distL="0" distR="0" wp14:anchorId="44EE6879" wp14:editId="485B1774">
                  <wp:extent cx="1796642" cy="94934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1a.bmp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081"/>
                          <a:stretch/>
                        </pic:blipFill>
                        <pic:spPr bwMode="auto">
                          <a:xfrm>
                            <a:off x="0" y="0"/>
                            <a:ext cx="1814472" cy="958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48D85F1F" w14:textId="1B35C99D" w:rsidR="00484C72" w:rsidRPr="00484C72" w:rsidRDefault="00484C72" w:rsidP="00EA4F0F">
            <w:pPr>
              <w:widowControl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84C72">
              <w:rPr>
                <w:noProof/>
                <w:snapToGrid/>
                <w:sz w:val="16"/>
                <w:szCs w:val="16"/>
                <w:lang w:val="ru-RU" w:eastAsia="ru-RU"/>
              </w:rPr>
              <w:drawing>
                <wp:inline distT="0" distB="0" distL="0" distR="0" wp14:anchorId="79845EFA" wp14:editId="5240A865">
                  <wp:extent cx="1553413" cy="891104"/>
                  <wp:effectExtent l="0" t="0" r="889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1b.bmp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1" r="2099"/>
                          <a:stretch/>
                        </pic:blipFill>
                        <pic:spPr bwMode="auto">
                          <a:xfrm>
                            <a:off x="0" y="0"/>
                            <a:ext cx="1566539" cy="898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</w:tcPr>
          <w:p w14:paraId="2FC612A9" w14:textId="59B407CF" w:rsidR="00484C72" w:rsidRPr="00484C72" w:rsidRDefault="00484C72" w:rsidP="00EA4F0F">
            <w:pPr>
              <w:widowControl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84C72">
              <w:rPr>
                <w:noProof/>
                <w:snapToGrid/>
                <w:sz w:val="16"/>
                <w:szCs w:val="16"/>
                <w:lang w:val="ru-RU" w:eastAsia="ru-RU"/>
              </w:rPr>
              <w:drawing>
                <wp:inline distT="0" distB="0" distL="0" distR="0" wp14:anchorId="6A9C7E44" wp14:editId="0FC5B33C">
                  <wp:extent cx="1703675" cy="95517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1c.bmp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7" r="2436"/>
                          <a:stretch/>
                        </pic:blipFill>
                        <pic:spPr bwMode="auto">
                          <a:xfrm>
                            <a:off x="0" y="0"/>
                            <a:ext cx="1747832" cy="97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4F0F" w:rsidRPr="00141B8D" w14:paraId="73D882CF" w14:textId="77777777" w:rsidTr="00CB452E">
        <w:tc>
          <w:tcPr>
            <w:tcW w:w="3005" w:type="dxa"/>
          </w:tcPr>
          <w:p w14:paraId="11527313" w14:textId="02040B15" w:rsidR="002347E9" w:rsidRPr="00141B8D" w:rsidRDefault="00EA4F0F" w:rsidP="00EA4F0F">
            <w:pPr>
              <w:widowControl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zh-CN"/>
              </w:rPr>
            </w:pPr>
            <w:bookmarkStart w:id="0" w:name="_GoBack"/>
            <w:r w:rsidRPr="00141B8D">
              <w:rPr>
                <w:b/>
                <w:sz w:val="22"/>
                <w:szCs w:val="22"/>
                <w:lang w:eastAsia="zh-CN"/>
              </w:rPr>
              <w:t>a</w:t>
            </w:r>
          </w:p>
        </w:tc>
        <w:tc>
          <w:tcPr>
            <w:tcW w:w="2552" w:type="dxa"/>
          </w:tcPr>
          <w:p w14:paraId="231549F0" w14:textId="7029E8F6" w:rsidR="002347E9" w:rsidRPr="00141B8D" w:rsidRDefault="00EA4F0F" w:rsidP="00EA4F0F">
            <w:pPr>
              <w:widowControl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141B8D">
              <w:rPr>
                <w:b/>
                <w:sz w:val="22"/>
                <w:szCs w:val="22"/>
                <w:lang w:eastAsia="zh-CN"/>
              </w:rPr>
              <w:t>b</w:t>
            </w:r>
          </w:p>
        </w:tc>
        <w:tc>
          <w:tcPr>
            <w:tcW w:w="2805" w:type="dxa"/>
          </w:tcPr>
          <w:p w14:paraId="02C25236" w14:textId="12DB1863" w:rsidR="002347E9" w:rsidRPr="00141B8D" w:rsidRDefault="00EA4F0F" w:rsidP="00EA4F0F">
            <w:pPr>
              <w:widowControl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141B8D">
              <w:rPr>
                <w:b/>
                <w:sz w:val="22"/>
                <w:szCs w:val="22"/>
                <w:lang w:eastAsia="zh-CN"/>
              </w:rPr>
              <w:t>c</w:t>
            </w:r>
          </w:p>
        </w:tc>
      </w:tr>
      <w:bookmarkEnd w:id="0"/>
      <w:tr w:rsidR="00EA4F0F" w:rsidRPr="001F38EE" w14:paraId="5E69202B" w14:textId="77777777" w:rsidTr="00CB452E">
        <w:tc>
          <w:tcPr>
            <w:tcW w:w="8362" w:type="dxa"/>
            <w:gridSpan w:val="3"/>
          </w:tcPr>
          <w:p w14:paraId="78AEA126" w14:textId="0562683C" w:rsidR="00EA4F0F" w:rsidRPr="002016C8" w:rsidRDefault="008E463F" w:rsidP="004818DF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zh-CN"/>
              </w:rPr>
            </w:pPr>
            <w:r w:rsidRPr="002016C8">
              <w:rPr>
                <w:rFonts w:eastAsiaTheme="minorEastAsia"/>
                <w:b/>
                <w:bCs/>
                <w:snapToGrid/>
                <w:sz w:val="22"/>
                <w:szCs w:val="22"/>
                <w:lang w:eastAsia="zh-CN"/>
              </w:rPr>
              <w:t xml:space="preserve">Fig. 1. </w:t>
            </w:r>
            <w:r w:rsidRPr="002016C8">
              <w:rPr>
                <w:rFonts w:eastAsiaTheme="minorEastAsia"/>
                <w:snapToGrid/>
                <w:sz w:val="22"/>
                <w:szCs w:val="22"/>
                <w:lang w:eastAsia="zh-CN"/>
              </w:rPr>
              <w:t xml:space="preserve">Cumulative sequence of normalized magnitudes of repeated shocks for main shocks with magnitudes </w:t>
            </w:r>
            <w:r w:rsidRPr="004818DF">
              <w:rPr>
                <w:rFonts w:eastAsiaTheme="minorEastAsia"/>
                <w:i/>
                <w:iCs/>
                <w:snapToGrid/>
                <w:sz w:val="22"/>
                <w:szCs w:val="22"/>
                <w:lang w:eastAsia="zh-CN"/>
              </w:rPr>
              <w:t>M</w:t>
            </w:r>
            <w:r w:rsidRPr="002016C8">
              <w:rPr>
                <w:rFonts w:eastAsiaTheme="minorEastAsia"/>
                <w:iCs/>
                <w:snapToGrid/>
                <w:sz w:val="22"/>
                <w:szCs w:val="22"/>
                <w:lang w:eastAsia="zh-CN"/>
              </w:rPr>
              <w:t xml:space="preserve"> </w:t>
            </w:r>
            <w:r w:rsidRPr="002016C8">
              <w:rPr>
                <w:rFonts w:eastAsiaTheme="minorEastAsia"/>
                <w:snapToGrid/>
                <w:sz w:val="22"/>
                <w:szCs w:val="22"/>
                <w:lang w:eastAsia="zh-CN"/>
              </w:rPr>
              <w:t xml:space="preserve">≥ 7.5 (a); 7 ≤ </w:t>
            </w:r>
            <w:r w:rsidRPr="004818DF">
              <w:rPr>
                <w:rFonts w:eastAsiaTheme="minorEastAsia"/>
                <w:i/>
                <w:iCs/>
                <w:snapToGrid/>
                <w:sz w:val="22"/>
                <w:szCs w:val="22"/>
                <w:lang w:val="ru-RU" w:eastAsia="zh-CN"/>
              </w:rPr>
              <w:t>М</w:t>
            </w:r>
            <w:r w:rsidRPr="002016C8">
              <w:rPr>
                <w:rFonts w:eastAsiaTheme="minorEastAsia"/>
                <w:iCs/>
                <w:snapToGrid/>
                <w:sz w:val="22"/>
                <w:szCs w:val="22"/>
                <w:lang w:eastAsia="zh-CN"/>
              </w:rPr>
              <w:t xml:space="preserve"> </w:t>
            </w:r>
            <w:r w:rsidRPr="002016C8">
              <w:rPr>
                <w:rFonts w:eastAsiaTheme="minorEastAsia"/>
                <w:snapToGrid/>
                <w:sz w:val="22"/>
                <w:szCs w:val="22"/>
                <w:lang w:eastAsia="zh-CN"/>
              </w:rPr>
              <w:t xml:space="preserve">&lt; 7.5 (b) </w:t>
            </w:r>
            <w:r w:rsidR="001F38EE" w:rsidRPr="002016C8">
              <w:rPr>
                <w:sz w:val="22"/>
                <w:szCs w:val="22"/>
              </w:rPr>
              <w:t>catalog USGS/NEIC</w:t>
            </w:r>
            <w:r w:rsidRPr="002016C8">
              <w:rPr>
                <w:rFonts w:eastAsiaTheme="minorEastAsia"/>
                <w:snapToGrid/>
                <w:sz w:val="22"/>
                <w:szCs w:val="22"/>
                <w:lang w:eastAsia="zh-CN"/>
              </w:rPr>
              <w:t xml:space="preserve">; </w:t>
            </w:r>
            <w:r w:rsidR="001F38EE" w:rsidRPr="004818DF">
              <w:rPr>
                <w:rFonts w:eastAsiaTheme="minorEastAsia"/>
                <w:i/>
                <w:iCs/>
                <w:snapToGrid/>
                <w:sz w:val="22"/>
                <w:szCs w:val="22"/>
                <w:lang w:val="ru-RU" w:eastAsia="zh-CN"/>
              </w:rPr>
              <w:t>М</w:t>
            </w:r>
            <w:r w:rsidR="001F38EE" w:rsidRPr="002016C8">
              <w:rPr>
                <w:rFonts w:eastAsiaTheme="minorEastAsia"/>
                <w:iCs/>
                <w:snapToGrid/>
                <w:sz w:val="22"/>
                <w:szCs w:val="22"/>
                <w:lang w:eastAsia="zh-CN"/>
              </w:rPr>
              <w:t xml:space="preserve"> </w:t>
            </w:r>
            <w:r w:rsidR="001F38EE" w:rsidRPr="002016C8">
              <w:rPr>
                <w:rFonts w:eastAsiaTheme="minorEastAsia"/>
                <w:snapToGrid/>
                <w:sz w:val="22"/>
                <w:szCs w:val="22"/>
                <w:lang w:eastAsia="zh-CN"/>
              </w:rPr>
              <w:t>≥ 5.5 (c) Northern California catalog</w:t>
            </w:r>
            <w:r w:rsidRPr="002016C8">
              <w:rPr>
                <w:rFonts w:eastAsiaTheme="minorEastAsia"/>
                <w:snapToGrid/>
                <w:sz w:val="22"/>
                <w:szCs w:val="22"/>
                <w:lang w:eastAsia="zh-CN"/>
              </w:rPr>
              <w:t>. Identified effect of seismic echo (black line) is shown against events in which effect is absent (gray line). Vertical dashed line marks time of maximum in effect of first round-the-world seismic echo.</w:t>
            </w:r>
          </w:p>
        </w:tc>
      </w:tr>
    </w:tbl>
    <w:p w14:paraId="70F11473" w14:textId="77777777" w:rsidR="00E07579" w:rsidRDefault="00E07579" w:rsidP="007D2146">
      <w:pPr>
        <w:widowControl/>
        <w:autoSpaceDE w:val="0"/>
        <w:autoSpaceDN w:val="0"/>
        <w:adjustRightInd w:val="0"/>
        <w:rPr>
          <w:sz w:val="22"/>
          <w:szCs w:val="22"/>
          <w:lang w:eastAsia="zh-CN"/>
        </w:rPr>
      </w:pPr>
    </w:p>
    <w:p w14:paraId="2C0FD67F" w14:textId="23F632DE" w:rsidR="00254027" w:rsidRPr="00254027" w:rsidRDefault="00254027" w:rsidP="007D2146">
      <w:pPr>
        <w:widowControl/>
        <w:autoSpaceDE w:val="0"/>
        <w:autoSpaceDN w:val="0"/>
        <w:adjustRightInd w:val="0"/>
        <w:rPr>
          <w:b/>
          <w:sz w:val="22"/>
          <w:szCs w:val="22"/>
          <w:lang w:eastAsia="zh-CN"/>
        </w:rPr>
      </w:pPr>
      <w:r w:rsidRPr="00254027">
        <w:rPr>
          <w:b/>
          <w:sz w:val="22"/>
          <w:szCs w:val="22"/>
          <w:lang w:eastAsia="zh-CN"/>
        </w:rPr>
        <w:lastRenderedPageBreak/>
        <w:t>References:</w:t>
      </w:r>
    </w:p>
    <w:p w14:paraId="76A49BB4" w14:textId="370A2679" w:rsidR="00254027" w:rsidRPr="009E0F17" w:rsidRDefault="00254027" w:rsidP="00254027">
      <w:pPr>
        <w:widowControl/>
        <w:autoSpaceDE w:val="0"/>
        <w:autoSpaceDN w:val="0"/>
        <w:adjustRightInd w:val="0"/>
        <w:jc w:val="both"/>
        <w:rPr>
          <w:sz w:val="22"/>
          <w:szCs w:val="22"/>
          <w:lang w:eastAsia="zh-CN"/>
        </w:rPr>
      </w:pPr>
      <w:proofErr w:type="spellStart"/>
      <w:r w:rsidRPr="009E0F17">
        <w:rPr>
          <w:sz w:val="22"/>
          <w:szCs w:val="22"/>
        </w:rPr>
        <w:t>Zotov</w:t>
      </w:r>
      <w:proofErr w:type="spellEnd"/>
      <w:r w:rsidRPr="009E0F17">
        <w:rPr>
          <w:sz w:val="22"/>
          <w:szCs w:val="22"/>
        </w:rPr>
        <w:t xml:space="preserve"> O.D., Zavyalov A.D., </w:t>
      </w:r>
      <w:proofErr w:type="spellStart"/>
      <w:r w:rsidRPr="009E0F17">
        <w:rPr>
          <w:sz w:val="22"/>
          <w:szCs w:val="22"/>
        </w:rPr>
        <w:t>Guglielmi</w:t>
      </w:r>
      <w:proofErr w:type="spellEnd"/>
      <w:r w:rsidRPr="009E0F17">
        <w:rPr>
          <w:sz w:val="22"/>
          <w:szCs w:val="22"/>
        </w:rPr>
        <w:t xml:space="preserve"> A.V., </w:t>
      </w:r>
      <w:proofErr w:type="spellStart"/>
      <w:r w:rsidRPr="009E0F17">
        <w:rPr>
          <w:sz w:val="22"/>
          <w:szCs w:val="22"/>
        </w:rPr>
        <w:t>Lavrov</w:t>
      </w:r>
      <w:proofErr w:type="spellEnd"/>
      <w:r w:rsidRPr="009E0F17">
        <w:rPr>
          <w:sz w:val="22"/>
          <w:szCs w:val="22"/>
        </w:rPr>
        <w:t xml:space="preserve"> I.P. </w:t>
      </w:r>
      <w:r w:rsidRPr="009E0F17">
        <w:rPr>
          <w:rFonts w:eastAsia="Calibri"/>
          <w:bCs/>
          <w:sz w:val="22"/>
          <w:szCs w:val="22"/>
        </w:rPr>
        <w:t xml:space="preserve">On the Possible Effect of Round-the-World Surface Seismic Waves in the Dynamics of Repeated Shocks after Strong Earthquakes // </w:t>
      </w:r>
      <w:proofErr w:type="spellStart"/>
      <w:r w:rsidRPr="009E0F17">
        <w:rPr>
          <w:rFonts w:eastAsia="Calibri"/>
          <w:bCs/>
          <w:sz w:val="22"/>
          <w:szCs w:val="22"/>
        </w:rPr>
        <w:t>Izvestiya</w:t>
      </w:r>
      <w:proofErr w:type="spellEnd"/>
      <w:r w:rsidRPr="009E0F17">
        <w:rPr>
          <w:rFonts w:eastAsia="Calibri"/>
          <w:bCs/>
          <w:sz w:val="22"/>
          <w:szCs w:val="22"/>
        </w:rPr>
        <w:t>, Physics of the Solid Earth, 2018, Vol. 54, No. 1, pp. 178-191.</w:t>
      </w:r>
    </w:p>
    <w:sectPr w:rsidR="00254027" w:rsidRPr="009E0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C726A" w14:textId="77777777" w:rsidR="00A255BE" w:rsidRDefault="00A255BE" w:rsidP="00F1278F">
      <w:r>
        <w:separator/>
      </w:r>
    </w:p>
  </w:endnote>
  <w:endnote w:type="continuationSeparator" w:id="0">
    <w:p w14:paraId="02A84D16" w14:textId="77777777" w:rsidR="00A255BE" w:rsidRDefault="00A255BE" w:rsidP="00F1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Arial Unicode MS"/>
    <w:charset w:val="86"/>
    <w:family w:val="roman"/>
    <w:pitch w:val="default"/>
    <w:sig w:usb0="00000001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1624F" w14:textId="77777777" w:rsidR="00A255BE" w:rsidRDefault="00A255BE" w:rsidP="00F1278F">
      <w:r>
        <w:separator/>
      </w:r>
    </w:p>
  </w:footnote>
  <w:footnote w:type="continuationSeparator" w:id="0">
    <w:p w14:paraId="32A67DAF" w14:textId="77777777" w:rsidR="00A255BE" w:rsidRDefault="00A255BE" w:rsidP="00F12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55722"/>
    <w:multiLevelType w:val="hybridMultilevel"/>
    <w:tmpl w:val="81E813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D09544F"/>
    <w:multiLevelType w:val="hybridMultilevel"/>
    <w:tmpl w:val="C6F2AA24"/>
    <w:lvl w:ilvl="0" w:tplc="BB2C29A4"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BF46726"/>
    <w:multiLevelType w:val="hybridMultilevel"/>
    <w:tmpl w:val="31E4618E"/>
    <w:lvl w:ilvl="0" w:tplc="CC267E00">
      <w:numFmt w:val="bullet"/>
      <w:lvlText w:val=""/>
      <w:lvlJc w:val="left"/>
      <w:pPr>
        <w:ind w:left="50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69"/>
    <w:rsid w:val="00017EEE"/>
    <w:rsid w:val="00094438"/>
    <w:rsid w:val="000F0A48"/>
    <w:rsid w:val="00141B8D"/>
    <w:rsid w:val="001F38EE"/>
    <w:rsid w:val="002016C8"/>
    <w:rsid w:val="00233231"/>
    <w:rsid w:val="002347E9"/>
    <w:rsid w:val="002422CE"/>
    <w:rsid w:val="00254027"/>
    <w:rsid w:val="00317719"/>
    <w:rsid w:val="004738E4"/>
    <w:rsid w:val="004818DF"/>
    <w:rsid w:val="00484C72"/>
    <w:rsid w:val="004A38B9"/>
    <w:rsid w:val="005B1539"/>
    <w:rsid w:val="006941AE"/>
    <w:rsid w:val="007B3047"/>
    <w:rsid w:val="007D2146"/>
    <w:rsid w:val="0081728F"/>
    <w:rsid w:val="00821E69"/>
    <w:rsid w:val="008779BE"/>
    <w:rsid w:val="008E463F"/>
    <w:rsid w:val="008F7304"/>
    <w:rsid w:val="00914AD6"/>
    <w:rsid w:val="0099514A"/>
    <w:rsid w:val="009B7224"/>
    <w:rsid w:val="009D2FF0"/>
    <w:rsid w:val="009E0F17"/>
    <w:rsid w:val="00A1501C"/>
    <w:rsid w:val="00A255BE"/>
    <w:rsid w:val="00AF4D4C"/>
    <w:rsid w:val="00B764DD"/>
    <w:rsid w:val="00B84D5F"/>
    <w:rsid w:val="00BA5A75"/>
    <w:rsid w:val="00C03DF5"/>
    <w:rsid w:val="00CB452E"/>
    <w:rsid w:val="00CF2C47"/>
    <w:rsid w:val="00D8566E"/>
    <w:rsid w:val="00DA0D27"/>
    <w:rsid w:val="00E07579"/>
    <w:rsid w:val="00EA4F0F"/>
    <w:rsid w:val="00F1278F"/>
    <w:rsid w:val="00F23F51"/>
    <w:rsid w:val="00F54880"/>
    <w:rsid w:val="00F6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572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8F"/>
    <w:pPr>
      <w:widowControl w:val="0"/>
    </w:pPr>
    <w:rPr>
      <w:rFonts w:ascii="Times New Roman" w:eastAsia="SimSun" w:hAnsi="Times New Roman" w:cs="Times New Roman"/>
      <w:snapToGrid w:val="0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F127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278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napToGrid/>
      <w:kern w:val="2"/>
      <w:sz w:val="18"/>
      <w:szCs w:val="18"/>
      <w:lang w:eastAsia="zh-CN"/>
    </w:rPr>
  </w:style>
  <w:style w:type="character" w:customStyle="1" w:styleId="a6">
    <w:name w:val="Нижний колонтитул Знак"/>
    <w:basedOn w:val="a0"/>
    <w:link w:val="a5"/>
    <w:uiPriority w:val="99"/>
    <w:rsid w:val="00F1278F"/>
    <w:rPr>
      <w:sz w:val="18"/>
      <w:szCs w:val="18"/>
    </w:rPr>
  </w:style>
  <w:style w:type="paragraph" w:styleId="a7">
    <w:name w:val="List Paragraph"/>
    <w:basedOn w:val="a"/>
    <w:uiPriority w:val="34"/>
    <w:qFormat/>
    <w:rsid w:val="000F0A48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A1501C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234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84C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4C72"/>
    <w:rPr>
      <w:rFonts w:ascii="Tahoma" w:eastAsia="SimSun" w:hAnsi="Tahoma" w:cs="Tahoma"/>
      <w:snapToGrid w:val="0"/>
      <w:kern w:val="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8F"/>
    <w:pPr>
      <w:widowControl w:val="0"/>
    </w:pPr>
    <w:rPr>
      <w:rFonts w:ascii="Times New Roman" w:eastAsia="SimSun" w:hAnsi="Times New Roman" w:cs="Times New Roman"/>
      <w:snapToGrid w:val="0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F127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278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napToGrid/>
      <w:kern w:val="2"/>
      <w:sz w:val="18"/>
      <w:szCs w:val="18"/>
      <w:lang w:eastAsia="zh-CN"/>
    </w:rPr>
  </w:style>
  <w:style w:type="character" w:customStyle="1" w:styleId="a6">
    <w:name w:val="Нижний колонтитул Знак"/>
    <w:basedOn w:val="a0"/>
    <w:link w:val="a5"/>
    <w:uiPriority w:val="99"/>
    <w:rsid w:val="00F1278F"/>
    <w:rPr>
      <w:sz w:val="18"/>
      <w:szCs w:val="18"/>
    </w:rPr>
  </w:style>
  <w:style w:type="paragraph" w:styleId="a7">
    <w:name w:val="List Paragraph"/>
    <w:basedOn w:val="a"/>
    <w:uiPriority w:val="34"/>
    <w:qFormat/>
    <w:rsid w:val="000F0A48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A1501C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234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84C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4C72"/>
    <w:rPr>
      <w:rFonts w:ascii="Tahoma" w:eastAsia="SimSun" w:hAnsi="Tahoma" w:cs="Tahoma"/>
      <w:snapToGrid w:val="0"/>
      <w:kern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 Zavyalov</cp:lastModifiedBy>
  <cp:revision>13</cp:revision>
  <dcterms:created xsi:type="dcterms:W3CDTF">2018-01-30T13:31:00Z</dcterms:created>
  <dcterms:modified xsi:type="dcterms:W3CDTF">2018-02-11T20:36:00Z</dcterms:modified>
</cp:coreProperties>
</file>