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4B" w:rsidRPr="00424467" w:rsidRDefault="0005134B" w:rsidP="0005134B">
      <w:p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424467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Александр Щипков </w:t>
      </w:r>
    </w:p>
    <w:p w:rsidR="0005134B" w:rsidRPr="00424467" w:rsidRDefault="0005134B" w:rsidP="0005134B">
      <w:pPr>
        <w:shd w:val="clear" w:color="auto" w:fill="FFFFFF"/>
        <w:spacing w:after="270" w:line="270" w:lineRule="atLeast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424467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Опубликовано: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Литературная</w:t>
      </w:r>
      <w:r w:rsidRPr="0042446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 газета,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30 января</w:t>
      </w:r>
      <w:r w:rsidRPr="0042446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 2019 г.</w:t>
      </w:r>
    </w:p>
    <w:p w:rsid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424467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Ссылка:</w:t>
      </w:r>
      <w:r w:rsidRPr="0005134B">
        <w:t xml:space="preserve"> </w:t>
      </w:r>
      <w:hyperlink r:id="rId5" w:history="1">
        <w:r>
          <w:rPr>
            <w:rStyle w:val="a3"/>
          </w:rPr>
          <w:t>http://lgz.ru/article/-4-6676-30-01-2019/vremya-patriarkha-kirilla/</w:t>
        </w:r>
      </w:hyperlink>
    </w:p>
    <w:p w:rsidR="0005134B" w:rsidRPr="0005134B" w:rsidRDefault="0005134B" w:rsidP="00051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34B">
        <w:rPr>
          <w:rFonts w:ascii="Times New Roman" w:hAnsi="Times New Roman" w:cs="Times New Roman"/>
          <w:b/>
          <w:sz w:val="28"/>
          <w:szCs w:val="28"/>
        </w:rPr>
        <w:t>Время Патриарха Кирилла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Институт патриаршества чрезвычайно важен для русской церковной традиции. Сложные и трагические годы церковной реформы XVII века связаны с именем патриарха Никона. </w:t>
      </w:r>
      <w:proofErr w:type="spellStart"/>
      <w:proofErr w:type="gramStart"/>
      <w:r w:rsidRPr="0005134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5134B">
        <w:rPr>
          <w:rFonts w:ascii="Times New Roman" w:hAnsi="Times New Roman" w:cs="Times New Roman"/>
          <w:sz w:val="28"/>
          <w:szCs w:val="28"/>
        </w:rPr>
        <w:t>инодальный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период, отмеченный зависимостью и слабостью Церкви, был, как известно, временем её существования без патриарха.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Неслучайно пропагандисты секулярной реформации Церкви часто выбирают мишенью для нападок институт патриаршества и, желая поставить под сомнение её историческую легитимность, подвергают недобросовестным клеветническим нападкам личность патриарха Сергия (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Страгородского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>), противопоставляя его патриарху Тихону (Белавину).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Патриаршество – важнейший фактор церковного единства. От каждого патриарха зависит, какими историческими стезями следует Церковь.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Время патриарха Кирилла – это время восстановления Русской православной церковью социального положения и интеллектуальной роли, которыми она обладала в русской истории до трагического ХХ века. Время возвращения домой.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Именно при патриархе Кирилле образ Церкви вновь сложился во всей его определённости. Это образ не церкви-затворницы, но и не обмирщённой церкви. Это образ Церкви мыслящей, открытой для прихожан с самыми разными социальными запросами, от интеллектуалов до простых деревенских бабушек.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После интронизации Святейшего Патриарха Кирилла, которая произошла в 2009 году, начали получать реальное воплощение принципы «Основ социальной концепции Русской православной церкви» – принципы, основанные на глубоком понимании роли нравственности и справедливости в жизни общества, призванные защищать подлинные духовные истоки права и социальных институтов.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Этот подход прекрасно иллюстрируют книги патриарха, в которых он объясняет связь между христианскими ценностями и жизнью общества, – </w:t>
      </w:r>
      <w:r w:rsidRPr="0005134B">
        <w:rPr>
          <w:rFonts w:ascii="Times New Roman" w:hAnsi="Times New Roman" w:cs="Times New Roman"/>
          <w:sz w:val="28"/>
          <w:szCs w:val="28"/>
        </w:rPr>
        <w:lastRenderedPageBreak/>
        <w:t>такие как «Мысли, высказывания, суждения», «Свобода и ответственность: в поисках гармонии. Права человека и достоинство личности».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В числе прочего патриарх Кирилл в эти годы принял деятельное участие в укреплении и распространении культурного влияния Русского мира. Он выпустил в свет книгу «Семь слов о Русском мире», тем самым окончательно и прочно закрепив понятие «русский мир», этот синоним «исторической Руси», в общественном дискурсе и повседневном русскоязычном обиходе.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В этой книге речь идёт о русской идентичности, основой которой, как известно, является православное религиозное и культурное наследие. Русский мир – это и есть «Русская земля», о которой писал иеромонах Нестор в «Повести временных лет», это единое пространство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неовизантийского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культурного синтеза, прежде всего – России, Украины и Белоруссии.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Книга «Семь слов о Русском мире» важна не только своим глубоко национальным содержанием. В ней явлен интеллектуальный образ Русской церкви. Патриарх обращается к великой традиции жанра «Слова», характерного для древнерусской литературы. В этом жанре написано «Слово о полку Игореве», «Слово о Законе и Благодати митрополита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Илариона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>», «Слово о погибели Русской земли» и другие литературные памятники.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Оживляя традицию древнерусского Слова в современном культурном контексте, патриарх Кирилл даёт ей новое, социальное звучание. Он открывает для церкви тот новый язык «универсальной проповеди», который понятен и людям церковным, и людям светским. Такой язык помогает развивать идеи социальной концепции Церкви. Но это отнюдь не обмирщение, а именно социализация церковного языка. Такой язык делает церковную проповедь доступной, не искажая при этом её высокого духовного смысла, не позволяя поступаться традиционными христианскими ценностями.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«Образованный человек – уверен патриарх, – от приходского активиста до архиерея – без дополнительных объяснений понимает, что сегодня делать, чтобы христианское послание достигло сердца современного человека».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интеллектуальных усилий патриарха Кирилла является противодействие угрозе секулярной реформации. Эта угроза дала о себе знать в период политической атаки на церковь в 2012 году, но особенно ярко проявилась в период военно-политического захвата </w:t>
      </w:r>
      <w:r w:rsidRPr="0005134B">
        <w:rPr>
          <w:rFonts w:ascii="Times New Roman" w:hAnsi="Times New Roman" w:cs="Times New Roman"/>
          <w:sz w:val="28"/>
          <w:szCs w:val="28"/>
        </w:rPr>
        <w:lastRenderedPageBreak/>
        <w:t>инфраструктуры УПЦ МП со стороны Константинопольского патриархата и светской киевской власти.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34B">
        <w:rPr>
          <w:rFonts w:ascii="Times New Roman" w:hAnsi="Times New Roman" w:cs="Times New Roman"/>
          <w:sz w:val="28"/>
          <w:szCs w:val="28"/>
        </w:rPr>
        <w:t>Необходимо отметить, что данная проблема осознавалось Святейшим ещё десять лет назад. 24 июня 2008 года, в день открытия очередного Архиерейского собора РПЦ, патриарх Кирилл выступил с докладом «Православное единство и православное свидетельство в современном мире».</w:t>
      </w:r>
      <w:proofErr w:type="gramEnd"/>
      <w:r w:rsidRPr="0005134B">
        <w:rPr>
          <w:rFonts w:ascii="Times New Roman" w:hAnsi="Times New Roman" w:cs="Times New Roman"/>
          <w:sz w:val="28"/>
          <w:szCs w:val="28"/>
        </w:rPr>
        <w:t xml:space="preserve"> В этом выступлении он осудил тенденцию, обозначенную им как «несколько новых моментов» в интерпретации «выдвинутого Константинопольской церковью особенного толкования 28-го правила IV Вселенского Собора», которые «создают впечатление постепенного развития новой экклесиологии».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И позднее, в 2017 году, предстоятель вынужден был признать: «Сторонники </w:t>
      </w:r>
      <w:proofErr w:type="gramStart"/>
      <w:r w:rsidRPr="0005134B">
        <w:rPr>
          <w:rFonts w:ascii="Times New Roman" w:hAnsi="Times New Roman" w:cs="Times New Roman"/>
          <w:sz w:val="28"/>
          <w:szCs w:val="28"/>
        </w:rPr>
        <w:t>радикального</w:t>
      </w:r>
      <w:proofErr w:type="gramEnd"/>
      <w:r w:rsidRPr="00051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секуляризма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постоянно пытаются установить своё идеологическое господство над всеми верующими, которые составляют большую часть нашей планеты».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Глава Русской церкви неоднократно подчёркивал в своих выступлениях, что так называемые универсальные ценности секулярного модерна и постмодерна не выдержали исторической проверки: мир становится всё менее стабильным и предсказуемым, всё более опасным. Именно это вызывает новое стремление в Европе к традиционализму, консервативной демократии и обществу социальной справедливости.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Мыслями о неизбежном сдвиге культурной парадигмы, а также о роли и возможностях России в сложившейся ситуации, об окончательном преодолении разрывов национальной истории патриарх подробно делится с нами в своей новой книге «Диалог с историей», которую недавно выпустило издательство «Просвещение».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Сегодня предстоятель Русской церкви глубоко осознаёт историческую миссию и ответственность христианской ортодоксии в условиях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дехристианизации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Запада и нарастающей в мире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христианофобии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>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Патриарх Кирилл постоянно говорит о важности базовых нравственных ценностей, которым должны быть подчинены судебная, законотворческая и политическая деятельность. </w:t>
      </w:r>
      <w:proofErr w:type="gramStart"/>
      <w:r w:rsidRPr="0005134B">
        <w:rPr>
          <w:rFonts w:ascii="Times New Roman" w:hAnsi="Times New Roman" w:cs="Times New Roman"/>
          <w:sz w:val="28"/>
          <w:szCs w:val="28"/>
        </w:rPr>
        <w:t>По слову патриарха, «не нужно бояться признаться себе и окружающим в том, что религиозная и нравственная мотивация накрепко взаимосвязаны для большой части людей в России и мире».</w:t>
      </w:r>
      <w:proofErr w:type="gramEnd"/>
      <w:r w:rsidRPr="0005134B">
        <w:rPr>
          <w:rFonts w:ascii="Times New Roman" w:hAnsi="Times New Roman" w:cs="Times New Roman"/>
          <w:sz w:val="28"/>
          <w:szCs w:val="28"/>
        </w:rPr>
        <w:t xml:space="preserve"> Именно поэтому долг Церкви – просвещать Словом Господним секулярный социум, а не жертвовать своими принципами ему в угоду.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lastRenderedPageBreak/>
        <w:t xml:space="preserve">Патриарх выступает против всех видов фундаментализма, как религиозного, так и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секуляристского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, против экстремистских взглядов, релятивизма, цинизма,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трансгуманизма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и русофобии.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С огромной скорбью Святейший патриарх констатирует усиливающийся процесс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дехристианизации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>, который ведёт к более глубокому разрыву России и Запада, чем тот, который имел место в период холодной войны. Природа этого разрыва, конечно, не политическая, а духовная. «Мы с удивлением видим, что секулярные штампы и стереотипы, которые получают распространение в ряде европейских государств, приближаются по содержанию к хорошо известным нам в прошлом советским установкам. Это не может не беспокоить», – говорит патриарх.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Конечно, русская цивилизация с её византийской преемственностью не может принять и не примет участие в сознательном разрыве с христианской традицией. Кроме того, подражание Западу, по мысли предстоятеля Церкви, означает для России вечное отставание: «Когда нам говорят о европейском пути развития, как правило, имеют в виду подражание и воспроизводство западных политических, культурных моделей. Подражание, копирование всегда уступает подлиннику, так как в нём отсутствует оригинальное начало, подлинное авторство». Это принцип цивилизационной самостоятельности.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Патриарх Кирилл мыслит в категориях византийско-русской цивилизации, каждым своим мировоззренческим тезисом подтверждая и продолжая исторический выбор князя Владимира. Он подчёркивает: «Являясь преемниками Византии, мы вместе с тем на протяжении веков стремились бережно сохранять свою славянскую самобытность, цивилизация, фундамент которой был заложен гением и трудами святых равноапостольных Кирилла и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>, и сегодня жизнеспособна, соединяет европейское культурное и интеллектуальное наследие с православной духовностью и славянским мироощущением».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Церковь в период патриаршества Кирилла решительно выступила против идеи разрывов и непреодолимых границ в трактовке европейской и национальной истории, против ценностного противопоставления «традиции» и «современности».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История народа и его наследия неразрывна, несмотря на преступления политических режимов: «Душа нашего народа не была потеряна даже в годы жесточайших антицерковных гонений… Народный подвиг в Великой Отечественной войне, достижения в области науки и техники стали актами </w:t>
      </w:r>
      <w:r w:rsidRPr="0005134B">
        <w:rPr>
          <w:rFonts w:ascii="Times New Roman" w:hAnsi="Times New Roman" w:cs="Times New Roman"/>
          <w:sz w:val="28"/>
          <w:szCs w:val="28"/>
        </w:rPr>
        <w:lastRenderedPageBreak/>
        <w:t xml:space="preserve">самоотречения, которые могли быть совершены только людьми по своему внутреннему устройству остававшимися христианами. Нет таких атеистических идеалов, ради которых человек бы расстался с жизнью ради любви к </w:t>
      </w:r>
      <w:proofErr w:type="gramStart"/>
      <w:r w:rsidRPr="0005134B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05134B">
        <w:rPr>
          <w:rFonts w:ascii="Times New Roman" w:hAnsi="Times New Roman" w:cs="Times New Roman"/>
          <w:sz w:val="28"/>
          <w:szCs w:val="28"/>
        </w:rPr>
        <w:t xml:space="preserve">. Ведь если нет вечности, </w:t>
      </w:r>
      <w:proofErr w:type="gramStart"/>
      <w:r w:rsidRPr="0005134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5134B">
        <w:rPr>
          <w:rFonts w:ascii="Times New Roman" w:hAnsi="Times New Roman" w:cs="Times New Roman"/>
          <w:sz w:val="28"/>
          <w:szCs w:val="28"/>
        </w:rPr>
        <w:t xml:space="preserve"> как можно добровольно пожертвовать своей жизнью?»</w:t>
      </w:r>
    </w:p>
    <w:p w:rsidR="0005134B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Русская церковь с помощью Божьей сохранила свою преемственность в продолжение нескольких трагических десятилетий. Принцип духовно-исторической непрерывности традиции – и церковной, и русской, и общехристианской – важный идейный ориентир в церковном строительстве патриарха.</w:t>
      </w:r>
    </w:p>
    <w:p w:rsidR="00E13586" w:rsidRPr="0005134B" w:rsidRDefault="0005134B" w:rsidP="000513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134B">
        <w:rPr>
          <w:rFonts w:ascii="Times New Roman" w:hAnsi="Times New Roman" w:cs="Times New Roman"/>
          <w:sz w:val="28"/>
          <w:szCs w:val="28"/>
        </w:rPr>
        <w:t>Сегодняшний курс на историческую аутентификацию Русской православной церкви соответствует сложившемуся вековому порядку нашей церковной жизни, духу христианской традиции и основам православного вероучения. Этот курс можно назвать проявлением личной воли и административных способностей патриарха. Но прежде всего это неизбежный этап развития нашей церкви, а значит, и неотъемлемая часть Божественного замысла, касающаяся русского православия. Вот почему решения Святейшего патриарха имеют глубоко провиденциальный смысл. Патриарх Кирилл сегодня осуществляет именно то, что всем нам предначертано свыше.</w:t>
      </w:r>
    </w:p>
    <w:sectPr w:rsidR="00E13586" w:rsidRPr="0005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4B"/>
    <w:rsid w:val="0005134B"/>
    <w:rsid w:val="00E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gz.ru/article/-4-6676-30-01-2019/vremya-patriarkha-kiril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2019-05-19T19:46:00Z</dcterms:created>
  <dcterms:modified xsi:type="dcterms:W3CDTF">2019-05-19T19:53:00Z</dcterms:modified>
</cp:coreProperties>
</file>