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5DF3" w14:textId="77777777" w:rsidR="00CC139B" w:rsidRPr="004E54B7" w:rsidRDefault="00CC139B" w:rsidP="00CC139B">
      <w:pPr>
        <w:jc w:val="center"/>
        <w:rPr>
          <w:rFonts w:ascii="Times New Roman" w:hAnsi="Times New Roman"/>
          <w:b/>
          <w:sz w:val="28"/>
          <w:szCs w:val="28"/>
        </w:rPr>
      </w:pPr>
      <w:bookmarkStart w:id="0" w:name="_Hlk108804921"/>
      <w:r w:rsidRPr="00A8306D">
        <w:rPr>
          <w:rFonts w:ascii="Times New Roman" w:hAnsi="Times New Roman"/>
          <w:b/>
          <w:sz w:val="28"/>
          <w:szCs w:val="28"/>
        </w:rPr>
        <w:t xml:space="preserve">Theoretical investigation of the structure and </w:t>
      </w:r>
      <w:proofErr w:type="spellStart"/>
      <w:r w:rsidRPr="00A8306D">
        <w:rPr>
          <w:rFonts w:ascii="Times New Roman" w:hAnsi="Times New Roman"/>
          <w:b/>
          <w:sz w:val="28"/>
          <w:szCs w:val="28"/>
        </w:rPr>
        <w:t>photophysics</w:t>
      </w:r>
      <w:proofErr w:type="spellEnd"/>
      <w:r w:rsidRPr="00A8306D">
        <w:rPr>
          <w:rFonts w:ascii="Times New Roman" w:hAnsi="Times New Roman"/>
          <w:b/>
          <w:sz w:val="28"/>
          <w:szCs w:val="28"/>
        </w:rPr>
        <w:t xml:space="preserve"> of homological series of bis(</w:t>
      </w:r>
      <w:proofErr w:type="spellStart"/>
      <w:r w:rsidRPr="00A8306D">
        <w:rPr>
          <w:rFonts w:ascii="Times New Roman" w:hAnsi="Times New Roman"/>
          <w:b/>
          <w:sz w:val="28"/>
          <w:szCs w:val="28"/>
        </w:rPr>
        <w:t>aryliden</w:t>
      </w:r>
      <w:proofErr w:type="spellEnd"/>
      <w:r w:rsidRPr="00A8306D">
        <w:rPr>
          <w:rFonts w:ascii="Times New Roman" w:hAnsi="Times New Roman"/>
          <w:b/>
          <w:sz w:val="28"/>
          <w:szCs w:val="28"/>
        </w:rPr>
        <w:t>)cycloalkanones</w:t>
      </w:r>
    </w:p>
    <w:bookmarkEnd w:id="0"/>
    <w:p w14:paraId="22430939" w14:textId="77777777" w:rsidR="00CC139B" w:rsidRPr="00BF1FD8" w:rsidRDefault="00CC139B" w:rsidP="00CC139B">
      <w:pPr>
        <w:jc w:val="center"/>
        <w:rPr>
          <w:rFonts w:ascii="Times New Roman" w:hAnsi="Times New Roman"/>
          <w:sz w:val="24"/>
          <w:u w:val="single"/>
          <w:lang w:val="nl-BE"/>
        </w:rPr>
      </w:pPr>
    </w:p>
    <w:p w14:paraId="00C5904D" w14:textId="77777777" w:rsidR="00CC139B" w:rsidRPr="004F310D" w:rsidRDefault="00CC139B" w:rsidP="00CC139B">
      <w:pPr>
        <w:jc w:val="center"/>
        <w:rPr>
          <w:rFonts w:ascii="Times New Roman" w:hAnsi="Times New Roman"/>
          <w:sz w:val="24"/>
          <w:vertAlign w:val="superscript"/>
          <w:lang w:val="nl-BE"/>
        </w:rPr>
      </w:pPr>
      <w:bookmarkStart w:id="1" w:name="_Hlk108804993"/>
      <w:r w:rsidRPr="004F310D">
        <w:rPr>
          <w:rFonts w:ascii="Times New Roman" w:hAnsi="Times New Roman"/>
          <w:sz w:val="24"/>
          <w:u w:val="single"/>
          <w:lang w:val="nl-BE"/>
        </w:rPr>
        <w:t>Starostin R.O.,</w:t>
      </w:r>
      <w:r w:rsidRPr="004F310D">
        <w:rPr>
          <w:rFonts w:ascii="Times New Roman" w:hAnsi="Times New Roman"/>
          <w:sz w:val="24"/>
          <w:lang w:val="nl-BE"/>
        </w:rPr>
        <w:t xml:space="preserve"> Freidzon A.Ya., Gromov S.P.</w:t>
      </w:r>
      <w:bookmarkEnd w:id="1"/>
    </w:p>
    <w:p w14:paraId="363D7D1D" w14:textId="77777777" w:rsidR="00CC139B" w:rsidRPr="004F310D" w:rsidRDefault="00CC139B" w:rsidP="00CC139B">
      <w:pPr>
        <w:jc w:val="center"/>
        <w:rPr>
          <w:rFonts w:ascii="Times New Roman" w:hAnsi="Times New Roman"/>
          <w:sz w:val="24"/>
          <w:lang w:val="nl-BE"/>
        </w:rPr>
      </w:pPr>
    </w:p>
    <w:p w14:paraId="6FF5A2A4" w14:textId="77777777" w:rsidR="00CC139B" w:rsidRPr="004F310D" w:rsidRDefault="00CC139B" w:rsidP="00CC139B">
      <w:pPr>
        <w:jc w:val="center"/>
        <w:rPr>
          <w:rFonts w:ascii="Times New Roman" w:hAnsi="Times New Roman"/>
          <w:iCs/>
          <w:sz w:val="24"/>
          <w:lang w:val="nl-BE"/>
        </w:rPr>
      </w:pPr>
      <w:bookmarkStart w:id="2" w:name="_Hlk108805058"/>
      <w:r w:rsidRPr="004F310D">
        <w:rPr>
          <w:rFonts w:ascii="Times New Roman" w:hAnsi="Times New Roman"/>
          <w:i/>
          <w:sz w:val="24"/>
          <w:lang w:val="nl-BE"/>
        </w:rPr>
        <w:t xml:space="preserve">Photochemistry Center, RAS, FSRC “Crystallography and Photonics”, RAS, 119421, Moscow, </w:t>
      </w:r>
      <w:bookmarkEnd w:id="2"/>
      <w:r w:rsidRPr="004F310D">
        <w:rPr>
          <w:rFonts w:ascii="Times New Roman" w:hAnsi="Times New Roman"/>
          <w:i/>
          <w:sz w:val="24"/>
          <w:lang w:val="nl-BE"/>
        </w:rPr>
        <w:t>Novatorov str. 7A-1</w:t>
      </w:r>
    </w:p>
    <w:p w14:paraId="3D6D6277" w14:textId="77777777" w:rsidR="00CC139B" w:rsidRPr="00CC139B" w:rsidRDefault="00CC139B" w:rsidP="00CC139B">
      <w:pPr>
        <w:tabs>
          <w:tab w:val="left" w:pos="5880"/>
        </w:tabs>
        <w:spacing w:after="240"/>
        <w:jc w:val="center"/>
        <w:rPr>
          <w:rFonts w:ascii="Times New Roman" w:hAnsi="Times New Roman"/>
          <w:i/>
          <w:sz w:val="24"/>
          <w:lang w:val="de-DE"/>
        </w:rPr>
      </w:pPr>
      <w:r w:rsidRPr="004F310D">
        <w:rPr>
          <w:rFonts w:ascii="Times New Roman" w:hAnsi="Times New Roman"/>
          <w:i/>
          <w:sz w:val="24"/>
          <w:lang w:val="nl-BE"/>
        </w:rPr>
        <w:t>e-mail: star.roman-</w:t>
      </w:r>
      <w:r w:rsidRPr="00CC139B">
        <w:rPr>
          <w:rFonts w:ascii="Times New Roman" w:hAnsi="Times New Roman"/>
          <w:i/>
          <w:sz w:val="24"/>
          <w:lang w:val="de-DE"/>
        </w:rPr>
        <w:t>96@yandex.ru</w:t>
      </w:r>
    </w:p>
    <w:p w14:paraId="286756DC" w14:textId="77777777" w:rsidR="00CC139B" w:rsidRPr="004E54B7" w:rsidRDefault="00CC139B" w:rsidP="00CC139B">
      <w:pPr>
        <w:ind w:firstLine="709"/>
        <w:rPr>
          <w:rFonts w:ascii="Times New Roman" w:hAnsi="Times New Roman"/>
          <w:sz w:val="24"/>
        </w:rPr>
      </w:pPr>
      <w:r w:rsidRPr="004F310D">
        <w:rPr>
          <w:rFonts w:ascii="Times New Roman" w:hAnsi="Times New Roman"/>
          <w:sz w:val="24"/>
          <w:lang w:val="fr-FR"/>
        </w:rPr>
        <w:t>α</w:t>
      </w:r>
      <w:r w:rsidRPr="004F310D">
        <w:rPr>
          <w:rFonts w:ascii="Times New Roman" w:hAnsi="Times New Roman"/>
          <w:sz w:val="24"/>
        </w:rPr>
        <w:t>,</w:t>
      </w:r>
      <w:r w:rsidRPr="004F310D">
        <w:rPr>
          <w:rFonts w:ascii="Times New Roman" w:hAnsi="Times New Roman"/>
          <w:sz w:val="24"/>
          <w:lang w:val="fr-FR"/>
        </w:rPr>
        <w:t>α</w:t>
      </w:r>
      <w:r w:rsidRPr="004F310D">
        <w:rPr>
          <w:rFonts w:ascii="Times New Roman" w:hAnsi="Times New Roman"/>
          <w:sz w:val="24"/>
        </w:rPr>
        <w:t>’-</w:t>
      </w:r>
      <w:proofErr w:type="spellStart"/>
      <w:r w:rsidRPr="004F310D">
        <w:rPr>
          <w:rFonts w:ascii="Times New Roman" w:hAnsi="Times New Roman"/>
          <w:sz w:val="24"/>
        </w:rPr>
        <w:t>Bisarylidene</w:t>
      </w:r>
      <w:proofErr w:type="spellEnd"/>
      <w:r w:rsidRPr="004F310D">
        <w:rPr>
          <w:rFonts w:ascii="Times New Roman" w:hAnsi="Times New Roman"/>
          <w:sz w:val="24"/>
        </w:rPr>
        <w:t xml:space="preserve"> de</w:t>
      </w:r>
      <w:r w:rsidRPr="0091381A">
        <w:rPr>
          <w:rFonts w:ascii="Times New Roman" w:hAnsi="Times New Roman"/>
          <w:sz w:val="24"/>
        </w:rPr>
        <w:t>rivatives</w:t>
      </w:r>
      <w:r w:rsidRPr="004E54B7">
        <w:rPr>
          <w:rFonts w:ascii="Times New Roman" w:hAnsi="Times New Roman"/>
          <w:sz w:val="24"/>
        </w:rPr>
        <w:t xml:space="preserve"> </w:t>
      </w:r>
      <w:r w:rsidRPr="008C34C7">
        <w:rPr>
          <w:rFonts w:ascii="Times New Roman" w:hAnsi="Times New Roman"/>
          <w:sz w:val="24"/>
        </w:rPr>
        <w:t>of cyclic ketones (</w:t>
      </w:r>
      <w:proofErr w:type="spellStart"/>
      <w:r w:rsidRPr="008C34C7">
        <w:rPr>
          <w:rFonts w:ascii="Times New Roman" w:hAnsi="Times New Roman"/>
          <w:sz w:val="24"/>
        </w:rPr>
        <w:t>dienon</w:t>
      </w:r>
      <w:r>
        <w:rPr>
          <w:rFonts w:ascii="Times New Roman" w:hAnsi="Times New Roman"/>
          <w:sz w:val="24"/>
        </w:rPr>
        <w:t>e</w:t>
      </w:r>
      <w:r w:rsidRPr="008C34C7">
        <w:rPr>
          <w:rFonts w:ascii="Times New Roman" w:hAnsi="Times New Roman"/>
          <w:sz w:val="24"/>
        </w:rPr>
        <w:t>s</w:t>
      </w:r>
      <w:proofErr w:type="spellEnd"/>
      <w:r w:rsidRPr="008C34C7">
        <w:rPr>
          <w:rFonts w:ascii="Times New Roman" w:hAnsi="Times New Roman"/>
          <w:sz w:val="24"/>
        </w:rPr>
        <w:t xml:space="preserve"> of cycloalkanone series) are famous for their </w:t>
      </w:r>
      <w:r>
        <w:rPr>
          <w:rFonts w:ascii="Times New Roman" w:hAnsi="Times New Roman"/>
          <w:sz w:val="24"/>
        </w:rPr>
        <w:t>photo</w:t>
      </w:r>
      <w:r w:rsidRPr="008C34C7">
        <w:rPr>
          <w:rFonts w:ascii="Times New Roman" w:hAnsi="Times New Roman"/>
          <w:sz w:val="24"/>
        </w:rPr>
        <w:t xml:space="preserve">chromic and fluorescent properties, </w:t>
      </w:r>
      <w:r>
        <w:rPr>
          <w:rFonts w:ascii="Times New Roman" w:hAnsi="Times New Roman"/>
          <w:sz w:val="24"/>
        </w:rPr>
        <w:t>which</w:t>
      </w:r>
      <w:r w:rsidRPr="008C34C7">
        <w:rPr>
          <w:rFonts w:ascii="Times New Roman" w:hAnsi="Times New Roman"/>
          <w:sz w:val="24"/>
        </w:rPr>
        <w:t xml:space="preserve"> </w:t>
      </w:r>
      <w:r>
        <w:rPr>
          <w:rFonts w:ascii="Times New Roman" w:hAnsi="Times New Roman"/>
          <w:sz w:val="24"/>
        </w:rPr>
        <w:t>make them applicable</w:t>
      </w:r>
      <w:r w:rsidRPr="008C34C7">
        <w:rPr>
          <w:rFonts w:ascii="Times New Roman" w:hAnsi="Times New Roman"/>
          <w:sz w:val="24"/>
        </w:rPr>
        <w:t xml:space="preserve"> as fluorescent probes and photosensitizers in biology </w:t>
      </w:r>
      <w:r w:rsidRPr="004E54B7">
        <w:rPr>
          <w:rFonts w:ascii="Times New Roman" w:hAnsi="Times New Roman"/>
          <w:sz w:val="24"/>
        </w:rPr>
        <w:t>[1-</w:t>
      </w:r>
      <w:r>
        <w:rPr>
          <w:rFonts w:ascii="Times New Roman" w:hAnsi="Times New Roman"/>
          <w:sz w:val="24"/>
        </w:rPr>
        <w:t>2</w:t>
      </w:r>
      <w:r w:rsidRPr="004E54B7">
        <w:rPr>
          <w:rFonts w:ascii="Times New Roman" w:hAnsi="Times New Roman"/>
          <w:sz w:val="24"/>
        </w:rPr>
        <w:t>]</w:t>
      </w:r>
      <w:r w:rsidRPr="004E54B7">
        <w:rPr>
          <w:rFonts w:ascii="Times New Roman" w:hAnsi="Times New Roman"/>
          <w:color w:val="000000"/>
          <w:sz w:val="24"/>
        </w:rPr>
        <w:t>.</w:t>
      </w:r>
    </w:p>
    <w:p w14:paraId="1F7BF16B" w14:textId="77777777" w:rsidR="00CC139B" w:rsidRDefault="00CC139B" w:rsidP="00CC139B">
      <w:pPr>
        <w:ind w:firstLine="709"/>
        <w:rPr>
          <w:rFonts w:ascii="Times New Roman" w:hAnsi="Times New Roman"/>
          <w:sz w:val="24"/>
        </w:rPr>
      </w:pPr>
      <w:r>
        <w:rPr>
          <w:rFonts w:ascii="Times New Roman" w:hAnsi="Times New Roman"/>
          <w:sz w:val="24"/>
        </w:rPr>
        <w:t>Here</w:t>
      </w:r>
      <w:r w:rsidRPr="008C34C7">
        <w:rPr>
          <w:rFonts w:ascii="Times New Roman" w:hAnsi="Times New Roman"/>
          <w:sz w:val="24"/>
        </w:rPr>
        <w:t xml:space="preserve">, </w:t>
      </w:r>
      <w:r>
        <w:rPr>
          <w:rFonts w:ascii="Times New Roman" w:hAnsi="Times New Roman"/>
          <w:sz w:val="24"/>
        </w:rPr>
        <w:t xml:space="preserve">we have found theoretically the </w:t>
      </w:r>
      <w:r w:rsidRPr="008C34C7">
        <w:rPr>
          <w:rFonts w:ascii="Times New Roman" w:hAnsi="Times New Roman"/>
          <w:sz w:val="24"/>
        </w:rPr>
        <w:t xml:space="preserve">stable structures of dienons with various </w:t>
      </w:r>
      <w:r w:rsidRPr="00E857D9">
        <w:rPr>
          <w:rFonts w:ascii="Times New Roman" w:hAnsi="Times New Roman"/>
          <w:sz w:val="24"/>
        </w:rPr>
        <w:t xml:space="preserve">electron donating groups in the ground and lower excited states. Main regularities of transitions between </w:t>
      </w:r>
      <w:r>
        <w:rPr>
          <w:rFonts w:ascii="Times New Roman" w:hAnsi="Times New Roman"/>
          <w:sz w:val="24"/>
        </w:rPr>
        <w:t xml:space="preserve">the </w:t>
      </w:r>
      <w:r w:rsidRPr="00E857D9">
        <w:rPr>
          <w:rFonts w:ascii="Times New Roman" w:hAnsi="Times New Roman"/>
          <w:sz w:val="24"/>
        </w:rPr>
        <w:t xml:space="preserve">states and excitation relaxation pathways were investigated. The </w:t>
      </w:r>
      <w:r>
        <w:rPr>
          <w:rFonts w:ascii="Times New Roman" w:hAnsi="Times New Roman"/>
          <w:sz w:val="24"/>
        </w:rPr>
        <w:t>c</w:t>
      </w:r>
      <w:r w:rsidRPr="00E857D9">
        <w:rPr>
          <w:rFonts w:ascii="Times New Roman" w:hAnsi="Times New Roman"/>
          <w:sz w:val="24"/>
        </w:rPr>
        <w:t>alculated data were used to expla</w:t>
      </w:r>
      <w:r>
        <w:rPr>
          <w:rFonts w:ascii="Times New Roman" w:hAnsi="Times New Roman"/>
          <w:sz w:val="24"/>
        </w:rPr>
        <w:t>i</w:t>
      </w:r>
      <w:r w:rsidRPr="00E857D9">
        <w:rPr>
          <w:rFonts w:ascii="Times New Roman" w:hAnsi="Times New Roman"/>
          <w:sz w:val="24"/>
        </w:rPr>
        <w:t xml:space="preserve">n the results of photophysical experiments </w:t>
      </w:r>
      <w:r w:rsidRPr="008C34C7">
        <w:rPr>
          <w:rFonts w:ascii="Times New Roman" w:hAnsi="Times New Roman"/>
          <w:sz w:val="24"/>
        </w:rPr>
        <w:t>[</w:t>
      </w:r>
      <w:r>
        <w:rPr>
          <w:rFonts w:ascii="Times New Roman" w:hAnsi="Times New Roman"/>
          <w:sz w:val="24"/>
        </w:rPr>
        <w:t>3</w:t>
      </w:r>
      <w:r w:rsidRPr="008C34C7">
        <w:rPr>
          <w:rFonts w:ascii="Times New Roman" w:hAnsi="Times New Roman"/>
          <w:sz w:val="24"/>
        </w:rPr>
        <w:t>-</w:t>
      </w:r>
      <w:r>
        <w:rPr>
          <w:rFonts w:ascii="Times New Roman" w:hAnsi="Times New Roman"/>
          <w:sz w:val="24"/>
        </w:rPr>
        <w:t>4</w:t>
      </w:r>
      <w:r w:rsidRPr="008C34C7">
        <w:rPr>
          <w:rFonts w:ascii="Times New Roman" w:hAnsi="Times New Roman"/>
          <w:sz w:val="24"/>
        </w:rPr>
        <w:t>].</w:t>
      </w:r>
    </w:p>
    <w:p w14:paraId="70E951E3" w14:textId="77777777" w:rsidR="00CC139B" w:rsidRDefault="00CC139B" w:rsidP="00CC139B">
      <w:pPr>
        <w:rPr>
          <w:rFonts w:ascii="Times New Roman" w:hAnsi="Times New Roman"/>
          <w:sz w:val="24"/>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54"/>
        <w:gridCol w:w="4786"/>
      </w:tblGrid>
      <w:tr w:rsidR="00CC139B" w14:paraId="645FE974" w14:textId="77777777" w:rsidTr="00A46A57">
        <w:trPr>
          <w:jc w:val="center"/>
        </w:trPr>
        <w:tc>
          <w:tcPr>
            <w:tcW w:w="4354" w:type="dxa"/>
          </w:tcPr>
          <w:p w14:paraId="41F75E43" w14:textId="77777777" w:rsidR="00CC139B" w:rsidRPr="00AA6E76" w:rsidRDefault="00CC139B" w:rsidP="00A46A57">
            <w:pPr>
              <w:jc w:val="center"/>
              <w:rPr>
                <w:rFonts w:ascii="Times New Roman" w:hAnsi="Times New Roman"/>
                <w:sz w:val="24"/>
                <w:highlight w:val="yellow"/>
              </w:rPr>
            </w:pPr>
            <w:r w:rsidRPr="00AA6E76">
              <w:rPr>
                <w:noProof/>
                <w:highlight w:val="yellow"/>
              </w:rPr>
              <w:drawing>
                <wp:inline distT="0" distB="0" distL="0" distR="0" wp14:anchorId="1B5EDA12" wp14:editId="20E0A355">
                  <wp:extent cx="2459990" cy="136461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9990" cy="1364615"/>
                          </a:xfrm>
                          <a:prstGeom prst="rect">
                            <a:avLst/>
                          </a:prstGeom>
                          <a:noFill/>
                          <a:ln>
                            <a:noFill/>
                          </a:ln>
                        </pic:spPr>
                      </pic:pic>
                    </a:graphicData>
                  </a:graphic>
                </wp:inline>
              </w:drawing>
            </w:r>
          </w:p>
        </w:tc>
        <w:tc>
          <w:tcPr>
            <w:tcW w:w="4786" w:type="dxa"/>
            <w:vAlign w:val="center"/>
          </w:tcPr>
          <w:p w14:paraId="49E8004A" w14:textId="77777777" w:rsidR="00CC139B" w:rsidRDefault="00CC139B" w:rsidP="00A46A57">
            <w:pPr>
              <w:rPr>
                <w:rFonts w:ascii="Times New Roman" w:hAnsi="Times New Roman"/>
                <w:sz w:val="24"/>
              </w:rPr>
            </w:pPr>
            <w:r w:rsidRPr="00506618">
              <w:rPr>
                <w:rFonts w:ascii="Times New Roman" w:hAnsi="Times New Roman"/>
                <w:sz w:val="24"/>
              </w:rPr>
              <w:t>R</w:t>
            </w:r>
            <w:r w:rsidRPr="00506618">
              <w:rPr>
                <w:rFonts w:ascii="Times New Roman" w:hAnsi="Times New Roman"/>
                <w:sz w:val="24"/>
                <w:vertAlign w:val="superscript"/>
              </w:rPr>
              <w:t>1</w:t>
            </w:r>
            <w:r w:rsidRPr="00506618">
              <w:rPr>
                <w:rFonts w:ascii="Times New Roman" w:hAnsi="Times New Roman"/>
                <w:sz w:val="24"/>
              </w:rPr>
              <w:t xml:space="preserve"> = H,</w:t>
            </w:r>
            <w:r w:rsidRPr="00CC139B">
              <w:rPr>
                <w:rFonts w:ascii="Times New Roman" w:hAnsi="Times New Roman"/>
                <w:sz w:val="24"/>
              </w:rPr>
              <w:t xml:space="preserve"> </w:t>
            </w:r>
            <w:r w:rsidRPr="00506618">
              <w:rPr>
                <w:rFonts w:ascii="Times New Roman" w:hAnsi="Times New Roman"/>
                <w:sz w:val="24"/>
              </w:rPr>
              <w:t>OMe, SMe, NMe</w:t>
            </w:r>
            <w:r w:rsidRPr="00506618">
              <w:rPr>
                <w:rFonts w:ascii="Times New Roman" w:hAnsi="Times New Roman"/>
                <w:sz w:val="24"/>
                <w:vertAlign w:val="subscript"/>
              </w:rPr>
              <w:t>2</w:t>
            </w:r>
            <w:r w:rsidRPr="00506618">
              <w:rPr>
                <w:rFonts w:ascii="Times New Roman" w:hAnsi="Times New Roman"/>
                <w:sz w:val="24"/>
              </w:rPr>
              <w:t>, NEt</w:t>
            </w:r>
            <w:r w:rsidRPr="00506618">
              <w:rPr>
                <w:rFonts w:ascii="Times New Roman" w:hAnsi="Times New Roman"/>
                <w:sz w:val="24"/>
                <w:vertAlign w:val="subscript"/>
              </w:rPr>
              <w:t>2</w:t>
            </w:r>
            <w:r w:rsidRPr="00506618">
              <w:rPr>
                <w:rFonts w:ascii="Times New Roman" w:hAnsi="Times New Roman"/>
                <w:sz w:val="24"/>
              </w:rPr>
              <w:t>;</w:t>
            </w:r>
            <w:r w:rsidRPr="00506618">
              <w:rPr>
                <w:rFonts w:ascii="Times New Roman" w:hAnsi="Times New Roman"/>
                <w:sz w:val="24"/>
                <w:vertAlign w:val="subscript"/>
              </w:rPr>
              <w:t xml:space="preserve"> </w:t>
            </w:r>
            <w:r w:rsidRPr="00506618">
              <w:rPr>
                <w:rFonts w:ascii="Times New Roman" w:hAnsi="Times New Roman"/>
                <w:sz w:val="24"/>
              </w:rPr>
              <w:t>R</w:t>
            </w:r>
            <w:r w:rsidRPr="00506618">
              <w:rPr>
                <w:rFonts w:ascii="Times New Roman" w:hAnsi="Times New Roman"/>
                <w:sz w:val="24"/>
                <w:vertAlign w:val="superscript"/>
              </w:rPr>
              <w:t>2</w:t>
            </w:r>
            <w:r w:rsidRPr="00506618">
              <w:rPr>
                <w:rFonts w:ascii="Times New Roman" w:hAnsi="Times New Roman"/>
                <w:sz w:val="24"/>
                <w:vertAlign w:val="subscript"/>
              </w:rPr>
              <w:t xml:space="preserve"> </w:t>
            </w:r>
            <w:r w:rsidRPr="00506618">
              <w:rPr>
                <w:rFonts w:ascii="Times New Roman" w:hAnsi="Times New Roman"/>
                <w:sz w:val="24"/>
              </w:rPr>
              <w:t xml:space="preserve">= H, OMe; </w:t>
            </w:r>
            <w:r w:rsidRPr="00506618">
              <w:rPr>
                <w:rFonts w:ascii="Times New Roman" w:hAnsi="Times New Roman"/>
                <w:i/>
                <w:sz w:val="24"/>
              </w:rPr>
              <w:t>n</w:t>
            </w:r>
            <w:r w:rsidRPr="00506618">
              <w:rPr>
                <w:rFonts w:ascii="Times New Roman" w:hAnsi="Times New Roman"/>
                <w:sz w:val="24"/>
              </w:rPr>
              <w:t xml:space="preserve"> = 1-3</w:t>
            </w:r>
          </w:p>
        </w:tc>
      </w:tr>
    </w:tbl>
    <w:p w14:paraId="4E8BE76C" w14:textId="77777777" w:rsidR="00CC139B" w:rsidRDefault="00CC139B" w:rsidP="00CC139B">
      <w:pPr>
        <w:rPr>
          <w:rFonts w:ascii="Times New Roman" w:hAnsi="Times New Roman"/>
          <w:sz w:val="24"/>
        </w:rPr>
      </w:pPr>
    </w:p>
    <w:p w14:paraId="683A03BB" w14:textId="77777777" w:rsidR="00CC139B" w:rsidRPr="00E857D9" w:rsidRDefault="00CC139B" w:rsidP="00CC139B">
      <w:pPr>
        <w:ind w:firstLine="709"/>
        <w:rPr>
          <w:rFonts w:ascii="Times New Roman" w:hAnsi="Times New Roman"/>
          <w:sz w:val="24"/>
        </w:rPr>
      </w:pPr>
      <w:r>
        <w:rPr>
          <w:rFonts w:ascii="Times New Roman" w:hAnsi="Times New Roman"/>
          <w:sz w:val="24"/>
        </w:rPr>
        <w:t>Quantum</w:t>
      </w:r>
      <w:r w:rsidRPr="00E857D9">
        <w:rPr>
          <w:rFonts w:ascii="Times New Roman" w:hAnsi="Times New Roman"/>
          <w:sz w:val="24"/>
        </w:rPr>
        <w:t xml:space="preserve"> </w:t>
      </w:r>
      <w:r>
        <w:rPr>
          <w:rFonts w:ascii="Times New Roman" w:hAnsi="Times New Roman"/>
          <w:sz w:val="24"/>
        </w:rPr>
        <w:t>chemical</w:t>
      </w:r>
      <w:r w:rsidRPr="00E857D9">
        <w:rPr>
          <w:rFonts w:ascii="Times New Roman" w:hAnsi="Times New Roman"/>
          <w:sz w:val="24"/>
        </w:rPr>
        <w:t xml:space="preserve"> </w:t>
      </w:r>
      <w:r>
        <w:rPr>
          <w:rFonts w:ascii="Times New Roman" w:hAnsi="Times New Roman"/>
          <w:sz w:val="24"/>
        </w:rPr>
        <w:t>calculations</w:t>
      </w:r>
      <w:r w:rsidRPr="00E857D9">
        <w:rPr>
          <w:rFonts w:ascii="Times New Roman" w:hAnsi="Times New Roman"/>
          <w:sz w:val="24"/>
        </w:rPr>
        <w:t xml:space="preserve"> </w:t>
      </w:r>
      <w:r>
        <w:rPr>
          <w:rFonts w:ascii="Times New Roman" w:hAnsi="Times New Roman"/>
          <w:sz w:val="24"/>
        </w:rPr>
        <w:t>were</w:t>
      </w:r>
      <w:r w:rsidRPr="00E857D9">
        <w:rPr>
          <w:rFonts w:ascii="Times New Roman" w:hAnsi="Times New Roman"/>
          <w:sz w:val="24"/>
        </w:rPr>
        <w:t xml:space="preserve"> </w:t>
      </w:r>
      <w:r>
        <w:rPr>
          <w:rFonts w:ascii="Times New Roman" w:hAnsi="Times New Roman"/>
          <w:sz w:val="24"/>
        </w:rPr>
        <w:t>performed</w:t>
      </w:r>
      <w:r w:rsidRPr="00E857D9">
        <w:rPr>
          <w:rFonts w:ascii="Times New Roman" w:hAnsi="Times New Roman"/>
          <w:sz w:val="24"/>
        </w:rPr>
        <w:t xml:space="preserve"> </w:t>
      </w:r>
      <w:r>
        <w:rPr>
          <w:rFonts w:ascii="Times New Roman" w:hAnsi="Times New Roman"/>
          <w:sz w:val="24"/>
        </w:rPr>
        <w:t>using</w:t>
      </w:r>
      <w:r w:rsidRPr="00E857D9">
        <w:rPr>
          <w:rFonts w:ascii="Times New Roman" w:hAnsi="Times New Roman"/>
          <w:sz w:val="24"/>
        </w:rPr>
        <w:t xml:space="preserve"> </w:t>
      </w:r>
      <w:r>
        <w:rPr>
          <w:rFonts w:ascii="Times New Roman" w:hAnsi="Times New Roman"/>
          <w:sz w:val="24"/>
        </w:rPr>
        <w:t>DFT</w:t>
      </w:r>
      <w:r w:rsidRPr="00E857D9">
        <w:rPr>
          <w:rFonts w:ascii="Times New Roman" w:hAnsi="Times New Roman"/>
          <w:sz w:val="24"/>
        </w:rPr>
        <w:t xml:space="preserve"> </w:t>
      </w:r>
      <w:r>
        <w:rPr>
          <w:rFonts w:ascii="Times New Roman" w:hAnsi="Times New Roman"/>
          <w:sz w:val="24"/>
        </w:rPr>
        <w:t>and</w:t>
      </w:r>
      <w:r w:rsidRPr="00E857D9">
        <w:rPr>
          <w:rFonts w:ascii="Times New Roman" w:hAnsi="Times New Roman"/>
          <w:sz w:val="24"/>
        </w:rPr>
        <w:t xml:space="preserve"> </w:t>
      </w:r>
      <w:r>
        <w:rPr>
          <w:rFonts w:ascii="Times New Roman" w:hAnsi="Times New Roman"/>
          <w:sz w:val="24"/>
        </w:rPr>
        <w:t>TDDFT</w:t>
      </w:r>
      <w:r w:rsidRPr="00E857D9">
        <w:rPr>
          <w:rFonts w:ascii="Times New Roman" w:hAnsi="Times New Roman"/>
          <w:sz w:val="24"/>
        </w:rPr>
        <w:t xml:space="preserve"> </w:t>
      </w:r>
      <w:r>
        <w:rPr>
          <w:rFonts w:ascii="Times New Roman" w:hAnsi="Times New Roman"/>
          <w:sz w:val="24"/>
        </w:rPr>
        <w:t>methods</w:t>
      </w:r>
      <w:r w:rsidRPr="00E857D9">
        <w:rPr>
          <w:rFonts w:ascii="Times New Roman" w:hAnsi="Times New Roman"/>
          <w:sz w:val="24"/>
        </w:rPr>
        <w:t xml:space="preserve"> </w:t>
      </w:r>
      <w:r>
        <w:rPr>
          <w:rFonts w:ascii="Times New Roman" w:hAnsi="Times New Roman"/>
          <w:sz w:val="24"/>
        </w:rPr>
        <w:t>with</w:t>
      </w:r>
      <w:r w:rsidRPr="00E857D9">
        <w:rPr>
          <w:rFonts w:ascii="Times New Roman" w:hAnsi="Times New Roman"/>
          <w:sz w:val="24"/>
        </w:rPr>
        <w:t xml:space="preserve"> </w:t>
      </w:r>
      <w:r>
        <w:rPr>
          <w:rFonts w:ascii="Times New Roman" w:hAnsi="Times New Roman"/>
          <w:sz w:val="24"/>
        </w:rPr>
        <w:t xml:space="preserve">the </w:t>
      </w:r>
      <w:r w:rsidRPr="00E857D9">
        <w:rPr>
          <w:rFonts w:ascii="Times New Roman" w:hAnsi="Times New Roman"/>
          <w:sz w:val="24"/>
        </w:rPr>
        <w:t xml:space="preserve">PBE0 </w:t>
      </w:r>
      <w:r>
        <w:rPr>
          <w:rFonts w:ascii="Times New Roman" w:hAnsi="Times New Roman"/>
          <w:sz w:val="24"/>
        </w:rPr>
        <w:t>functional</w:t>
      </w:r>
      <w:r w:rsidRPr="00E857D9">
        <w:rPr>
          <w:rFonts w:ascii="Times New Roman" w:hAnsi="Times New Roman"/>
          <w:sz w:val="24"/>
        </w:rPr>
        <w:t xml:space="preserve"> </w:t>
      </w:r>
      <w:r>
        <w:rPr>
          <w:rFonts w:ascii="Times New Roman" w:hAnsi="Times New Roman"/>
          <w:sz w:val="24"/>
        </w:rPr>
        <w:t xml:space="preserve">in the </w:t>
      </w:r>
      <w:r w:rsidRPr="00E857D9">
        <w:rPr>
          <w:rFonts w:ascii="Times New Roman" w:hAnsi="Times New Roman"/>
          <w:sz w:val="24"/>
        </w:rPr>
        <w:t>6-31+G(</w:t>
      </w:r>
      <w:proofErr w:type="spellStart"/>
      <w:proofErr w:type="gramStart"/>
      <w:r w:rsidRPr="00E857D9">
        <w:rPr>
          <w:rFonts w:ascii="Times New Roman" w:hAnsi="Times New Roman"/>
          <w:sz w:val="24"/>
        </w:rPr>
        <w:t>d,p</w:t>
      </w:r>
      <w:proofErr w:type="spellEnd"/>
      <w:proofErr w:type="gramEnd"/>
      <w:r w:rsidRPr="00E857D9">
        <w:rPr>
          <w:rFonts w:ascii="Times New Roman" w:hAnsi="Times New Roman"/>
          <w:sz w:val="24"/>
        </w:rPr>
        <w:t>)</w:t>
      </w:r>
      <w:r>
        <w:rPr>
          <w:rFonts w:ascii="Times New Roman" w:hAnsi="Times New Roman"/>
          <w:sz w:val="24"/>
        </w:rPr>
        <w:t xml:space="preserve"> basis in the </w:t>
      </w:r>
      <w:r w:rsidRPr="00E857D9">
        <w:rPr>
          <w:rFonts w:ascii="Times New Roman" w:hAnsi="Times New Roman"/>
          <w:sz w:val="24"/>
        </w:rPr>
        <w:t>Firefly</w:t>
      </w:r>
      <w:r w:rsidRPr="00992A45">
        <w:rPr>
          <w:rFonts w:ascii="Times New Roman" w:hAnsi="Times New Roman"/>
          <w:sz w:val="24"/>
        </w:rPr>
        <w:t xml:space="preserve"> </w:t>
      </w:r>
      <w:r>
        <w:rPr>
          <w:rFonts w:ascii="Times New Roman" w:hAnsi="Times New Roman"/>
          <w:sz w:val="24"/>
        </w:rPr>
        <w:t>software. Solvent effect was taken into consideration using continuum model.</w:t>
      </w:r>
    </w:p>
    <w:p w14:paraId="14AE138C" w14:textId="77777777" w:rsidR="00CC139B" w:rsidRDefault="00CC139B" w:rsidP="00CC139B">
      <w:pPr>
        <w:ind w:firstLine="709"/>
        <w:rPr>
          <w:rFonts w:ascii="Times New Roman" w:hAnsi="Times New Roman"/>
          <w:sz w:val="24"/>
        </w:rPr>
      </w:pPr>
      <w:r>
        <w:rPr>
          <w:rFonts w:ascii="Times New Roman" w:hAnsi="Times New Roman"/>
          <w:sz w:val="24"/>
        </w:rPr>
        <w:t>The influence</w:t>
      </w:r>
      <w:r w:rsidRPr="00BA68F5">
        <w:rPr>
          <w:rFonts w:ascii="Times New Roman" w:hAnsi="Times New Roman"/>
          <w:sz w:val="24"/>
        </w:rPr>
        <w:t xml:space="preserve"> </w:t>
      </w:r>
      <w:r>
        <w:rPr>
          <w:rFonts w:ascii="Times New Roman" w:hAnsi="Times New Roman"/>
          <w:sz w:val="24"/>
        </w:rPr>
        <w:t>of</w:t>
      </w:r>
      <w:r w:rsidRPr="00BA68F5">
        <w:rPr>
          <w:rFonts w:ascii="Times New Roman" w:hAnsi="Times New Roman"/>
          <w:sz w:val="24"/>
        </w:rPr>
        <w:t xml:space="preserve"> </w:t>
      </w:r>
      <w:r>
        <w:rPr>
          <w:rFonts w:ascii="Times New Roman" w:hAnsi="Times New Roman"/>
          <w:sz w:val="24"/>
        </w:rPr>
        <w:t xml:space="preserve">conformation, central cycle size and substituent type on the position of absorption and emission maxima in the calculated spectra of substances under question were analyzed. The processes of light absorption, fluorescence and nonradiative relaxation by internal rotation around exocyclic double bonds were considered. The calculation results were in good accordance with the experiment </w:t>
      </w:r>
      <w:r w:rsidRPr="00852124">
        <w:rPr>
          <w:rFonts w:ascii="Times New Roman" w:hAnsi="Times New Roman"/>
          <w:sz w:val="24"/>
        </w:rPr>
        <w:t>[</w:t>
      </w:r>
      <w:r>
        <w:rPr>
          <w:rFonts w:ascii="Times New Roman" w:hAnsi="Times New Roman"/>
          <w:sz w:val="24"/>
        </w:rPr>
        <w:t>3</w:t>
      </w:r>
      <w:r w:rsidRPr="00852124">
        <w:rPr>
          <w:rFonts w:ascii="Times New Roman" w:hAnsi="Times New Roman"/>
          <w:sz w:val="24"/>
        </w:rPr>
        <w:t>-</w:t>
      </w:r>
      <w:r>
        <w:rPr>
          <w:rFonts w:ascii="Times New Roman" w:hAnsi="Times New Roman"/>
          <w:sz w:val="24"/>
        </w:rPr>
        <w:t>4</w:t>
      </w:r>
      <w:r w:rsidRPr="00852124">
        <w:rPr>
          <w:rFonts w:ascii="Times New Roman" w:hAnsi="Times New Roman"/>
          <w:sz w:val="24"/>
        </w:rPr>
        <w:t>]</w:t>
      </w:r>
      <w:r>
        <w:rPr>
          <w:rFonts w:ascii="Times New Roman" w:hAnsi="Times New Roman"/>
          <w:sz w:val="24"/>
        </w:rPr>
        <w:t xml:space="preserve"> and made it possible to explain observed patterns in the spectral and photophysical properties of molecules.</w:t>
      </w:r>
    </w:p>
    <w:p w14:paraId="7530A9F0" w14:textId="05FDECF1" w:rsidR="00CC139B" w:rsidRPr="00B00553" w:rsidRDefault="00CC139B" w:rsidP="00CC139B">
      <w:pPr>
        <w:rPr>
          <w:rFonts w:ascii="Times New Roman" w:hAnsi="Times New Roman"/>
          <w:sz w:val="24"/>
        </w:rPr>
      </w:pPr>
    </w:p>
    <w:p w14:paraId="66F45259" w14:textId="77777777" w:rsidR="00CC139B" w:rsidRPr="002712C1" w:rsidRDefault="00CC139B" w:rsidP="00CC139B">
      <w:pPr>
        <w:rPr>
          <w:rFonts w:ascii="Times New Roman" w:hAnsi="Times New Roman"/>
          <w:b/>
          <w:i/>
          <w:sz w:val="24"/>
        </w:rPr>
      </w:pPr>
      <w:r w:rsidRPr="002712C1">
        <w:rPr>
          <w:rFonts w:ascii="Times New Roman" w:hAnsi="Times New Roman"/>
          <w:i/>
          <w:sz w:val="24"/>
        </w:rPr>
        <w:t xml:space="preserve">This work was supported by the Russian Science Foundation (grant No. 22-13-00064). </w:t>
      </w:r>
    </w:p>
    <w:p w14:paraId="46080B68" w14:textId="77777777" w:rsidR="00CC139B" w:rsidRPr="002712C1" w:rsidRDefault="00CC139B" w:rsidP="00CC139B">
      <w:pPr>
        <w:rPr>
          <w:rFonts w:ascii="Times New Roman" w:eastAsia="PMingLiU" w:hAnsi="Times New Roman"/>
          <w:bCs/>
          <w:sz w:val="24"/>
          <w:lang w:eastAsia="zh-TW"/>
        </w:rPr>
      </w:pPr>
    </w:p>
    <w:p w14:paraId="3DAA5DE9" w14:textId="77777777" w:rsidR="00CC139B" w:rsidRPr="002712C1" w:rsidRDefault="00CC139B" w:rsidP="00CC139B">
      <w:pPr>
        <w:jc w:val="center"/>
        <w:rPr>
          <w:rFonts w:ascii="Times New Roman" w:eastAsia="PMingLiU" w:hAnsi="Times New Roman"/>
          <w:b/>
          <w:sz w:val="24"/>
          <w:lang w:eastAsia="zh-TW"/>
        </w:rPr>
      </w:pPr>
      <w:r w:rsidRPr="002712C1">
        <w:rPr>
          <w:rFonts w:ascii="Times New Roman" w:eastAsia="PMingLiU" w:hAnsi="Times New Roman"/>
          <w:b/>
          <w:sz w:val="24"/>
          <w:lang w:eastAsia="zh-TW"/>
        </w:rPr>
        <w:t>References</w:t>
      </w:r>
    </w:p>
    <w:p w14:paraId="4BE19846" w14:textId="77777777" w:rsidR="00CC139B" w:rsidRPr="002712C1" w:rsidRDefault="00CC139B" w:rsidP="00CC139B">
      <w:pPr>
        <w:rPr>
          <w:rFonts w:ascii="Times New Roman" w:hAnsi="Times New Roman"/>
          <w:sz w:val="24"/>
        </w:rPr>
      </w:pPr>
      <w:r w:rsidRPr="002712C1">
        <w:rPr>
          <w:rFonts w:ascii="Times New Roman" w:hAnsi="Times New Roman"/>
          <w:sz w:val="24"/>
        </w:rPr>
        <w:t xml:space="preserve">[1] </w:t>
      </w:r>
      <w:proofErr w:type="spellStart"/>
      <w:r w:rsidRPr="002712C1">
        <w:rPr>
          <w:rFonts w:ascii="Times New Roman" w:hAnsi="Times New Roman"/>
          <w:sz w:val="24"/>
        </w:rPr>
        <w:t>Doroshenko</w:t>
      </w:r>
      <w:proofErr w:type="spellEnd"/>
      <w:r w:rsidRPr="002712C1">
        <w:rPr>
          <w:rFonts w:ascii="Times New Roman" w:hAnsi="Times New Roman"/>
          <w:sz w:val="24"/>
        </w:rPr>
        <w:t xml:space="preserve">, A.O.; </w:t>
      </w:r>
      <w:proofErr w:type="spellStart"/>
      <w:r w:rsidRPr="002712C1">
        <w:rPr>
          <w:rFonts w:ascii="Times New Roman" w:hAnsi="Times New Roman"/>
          <w:sz w:val="24"/>
        </w:rPr>
        <w:t>Sychevskaya</w:t>
      </w:r>
      <w:proofErr w:type="spellEnd"/>
      <w:r w:rsidRPr="002712C1">
        <w:rPr>
          <w:rFonts w:ascii="Times New Roman" w:hAnsi="Times New Roman"/>
          <w:sz w:val="24"/>
        </w:rPr>
        <w:t xml:space="preserve">, L.B.; </w:t>
      </w:r>
      <w:proofErr w:type="spellStart"/>
      <w:r w:rsidRPr="002712C1">
        <w:rPr>
          <w:rFonts w:ascii="Times New Roman" w:hAnsi="Times New Roman"/>
          <w:sz w:val="24"/>
        </w:rPr>
        <w:t>Grygorovych</w:t>
      </w:r>
      <w:proofErr w:type="spellEnd"/>
      <w:r w:rsidRPr="002712C1">
        <w:rPr>
          <w:rFonts w:ascii="Times New Roman" w:hAnsi="Times New Roman"/>
          <w:sz w:val="24"/>
        </w:rPr>
        <w:t xml:space="preserve">, A.V.; </w:t>
      </w:r>
      <w:proofErr w:type="spellStart"/>
      <w:r w:rsidRPr="002712C1">
        <w:rPr>
          <w:rFonts w:ascii="Times New Roman" w:hAnsi="Times New Roman"/>
          <w:sz w:val="24"/>
        </w:rPr>
        <w:t>Pivovarenko</w:t>
      </w:r>
      <w:proofErr w:type="spellEnd"/>
      <w:r w:rsidRPr="002712C1">
        <w:rPr>
          <w:rFonts w:ascii="Times New Roman" w:hAnsi="Times New Roman"/>
          <w:sz w:val="24"/>
        </w:rPr>
        <w:t xml:space="preserve">, V.G. </w:t>
      </w:r>
      <w:r w:rsidRPr="002712C1">
        <w:rPr>
          <w:rFonts w:ascii="Times New Roman" w:hAnsi="Times New Roman"/>
          <w:i/>
          <w:iCs/>
          <w:sz w:val="24"/>
        </w:rPr>
        <w:t>J. Fluorescence</w:t>
      </w:r>
      <w:r w:rsidRPr="002712C1">
        <w:rPr>
          <w:rFonts w:ascii="Times New Roman" w:hAnsi="Times New Roman"/>
          <w:sz w:val="24"/>
        </w:rPr>
        <w:t xml:space="preserve">, </w:t>
      </w:r>
      <w:r w:rsidRPr="002712C1">
        <w:rPr>
          <w:rFonts w:ascii="Times New Roman" w:hAnsi="Times New Roman"/>
          <w:b/>
          <w:sz w:val="24"/>
        </w:rPr>
        <w:t>2002</w:t>
      </w:r>
      <w:r w:rsidRPr="002712C1">
        <w:rPr>
          <w:rFonts w:ascii="Times New Roman" w:hAnsi="Times New Roman"/>
          <w:sz w:val="24"/>
        </w:rPr>
        <w:t xml:space="preserve">, </w:t>
      </w:r>
      <w:r w:rsidRPr="002712C1">
        <w:rPr>
          <w:rFonts w:ascii="Times New Roman" w:hAnsi="Times New Roman"/>
          <w:i/>
          <w:iCs/>
          <w:sz w:val="24"/>
        </w:rPr>
        <w:t>12</w:t>
      </w:r>
      <w:r w:rsidRPr="002712C1">
        <w:rPr>
          <w:rFonts w:ascii="Times New Roman" w:hAnsi="Times New Roman"/>
          <w:sz w:val="24"/>
        </w:rPr>
        <w:t>, 455.</w:t>
      </w:r>
    </w:p>
    <w:p w14:paraId="289B8D19" w14:textId="77777777" w:rsidR="00CC139B" w:rsidRPr="002712C1" w:rsidRDefault="00CC139B" w:rsidP="00CC139B">
      <w:pPr>
        <w:rPr>
          <w:rFonts w:ascii="Times New Roman" w:hAnsi="Times New Roman"/>
          <w:sz w:val="24"/>
          <w:lang w:val="de-DE"/>
        </w:rPr>
      </w:pPr>
      <w:r w:rsidRPr="002712C1">
        <w:rPr>
          <w:rFonts w:ascii="Times New Roman" w:hAnsi="Times New Roman"/>
          <w:sz w:val="24"/>
          <w:lang w:val="de-DE"/>
        </w:rPr>
        <w:t xml:space="preserve">[2] Lin, Y.; Jiang, X-F.; Duan, X.; Zeng, F.; Wu, B.; Wu, S. </w:t>
      </w:r>
      <w:r w:rsidRPr="002712C1">
        <w:rPr>
          <w:rFonts w:ascii="Times New Roman" w:hAnsi="Times New Roman"/>
          <w:i/>
          <w:iCs/>
          <w:sz w:val="24"/>
          <w:lang w:val="de-DE"/>
        </w:rPr>
        <w:t>ACS Med. Chem. Lett</w:t>
      </w:r>
      <w:r w:rsidRPr="002712C1">
        <w:rPr>
          <w:rFonts w:ascii="Times New Roman" w:hAnsi="Times New Roman"/>
          <w:sz w:val="24"/>
          <w:lang w:val="de-DE"/>
        </w:rPr>
        <w:t xml:space="preserve">., </w:t>
      </w:r>
      <w:r w:rsidRPr="002712C1">
        <w:rPr>
          <w:rFonts w:ascii="Times New Roman" w:hAnsi="Times New Roman"/>
          <w:b/>
          <w:bCs/>
          <w:sz w:val="24"/>
          <w:lang w:val="de-DE"/>
        </w:rPr>
        <w:t>2018</w:t>
      </w:r>
      <w:r w:rsidRPr="002712C1">
        <w:rPr>
          <w:rFonts w:ascii="Times New Roman" w:hAnsi="Times New Roman"/>
          <w:sz w:val="24"/>
          <w:lang w:val="de-DE"/>
        </w:rPr>
        <w:t xml:space="preserve">, </w:t>
      </w:r>
      <w:r w:rsidRPr="002712C1">
        <w:rPr>
          <w:rFonts w:ascii="Times New Roman" w:hAnsi="Times New Roman"/>
          <w:i/>
          <w:iCs/>
          <w:sz w:val="24"/>
          <w:lang w:val="de-DE"/>
        </w:rPr>
        <w:t>9</w:t>
      </w:r>
      <w:r w:rsidRPr="002712C1">
        <w:rPr>
          <w:rFonts w:ascii="Times New Roman" w:hAnsi="Times New Roman"/>
          <w:sz w:val="24"/>
          <w:lang w:val="de-DE"/>
        </w:rPr>
        <w:t>, 23.</w:t>
      </w:r>
    </w:p>
    <w:p w14:paraId="7280BF7C" w14:textId="77777777" w:rsidR="00CC139B" w:rsidRPr="002712C1" w:rsidRDefault="00CC139B" w:rsidP="00CC139B">
      <w:pPr>
        <w:rPr>
          <w:rFonts w:ascii="Times New Roman" w:hAnsi="Times New Roman"/>
          <w:sz w:val="24"/>
          <w:lang w:val="de-DE"/>
        </w:rPr>
      </w:pPr>
      <w:r w:rsidRPr="002712C1">
        <w:rPr>
          <w:rFonts w:ascii="Times New Roman" w:hAnsi="Times New Roman"/>
          <w:sz w:val="24"/>
          <w:lang w:val="de-DE"/>
        </w:rPr>
        <w:t xml:space="preserve">[3] </w:t>
      </w:r>
      <w:proofErr w:type="spellStart"/>
      <w:r w:rsidRPr="002712C1">
        <w:rPr>
          <w:rFonts w:ascii="Times New Roman" w:hAnsi="Times New Roman"/>
          <w:sz w:val="24"/>
          <w:lang w:val="de-DE"/>
        </w:rPr>
        <w:t>Gutrov</w:t>
      </w:r>
      <w:proofErr w:type="spellEnd"/>
      <w:r w:rsidRPr="002712C1">
        <w:rPr>
          <w:rFonts w:ascii="Times New Roman" w:hAnsi="Times New Roman"/>
          <w:sz w:val="24"/>
          <w:lang w:val="de-DE"/>
        </w:rPr>
        <w:t xml:space="preserve">, V.N.; Zakharova, G.V.; Fomina, M.V.; Starostin, R.O.; </w:t>
      </w:r>
      <w:proofErr w:type="spellStart"/>
      <w:r w:rsidRPr="002712C1">
        <w:rPr>
          <w:rFonts w:ascii="Times New Roman" w:hAnsi="Times New Roman"/>
          <w:sz w:val="24"/>
          <w:lang w:val="de-DE"/>
        </w:rPr>
        <w:t>Nuriev</w:t>
      </w:r>
      <w:proofErr w:type="spellEnd"/>
      <w:r w:rsidRPr="002712C1">
        <w:rPr>
          <w:rFonts w:ascii="Times New Roman" w:hAnsi="Times New Roman"/>
          <w:sz w:val="24"/>
          <w:lang w:val="de-DE"/>
        </w:rPr>
        <w:t xml:space="preserve">, V.N.; Gromov, S.P.; </w:t>
      </w:r>
      <w:proofErr w:type="spellStart"/>
      <w:r w:rsidRPr="002712C1">
        <w:rPr>
          <w:rFonts w:ascii="Times New Roman" w:hAnsi="Times New Roman"/>
          <w:sz w:val="24"/>
          <w:lang w:val="de-DE"/>
        </w:rPr>
        <w:t>Chibisov</w:t>
      </w:r>
      <w:proofErr w:type="spellEnd"/>
      <w:r w:rsidRPr="002712C1">
        <w:rPr>
          <w:rFonts w:ascii="Times New Roman" w:hAnsi="Times New Roman"/>
          <w:sz w:val="24"/>
          <w:lang w:val="de-DE"/>
        </w:rPr>
        <w:t xml:space="preserve">, A.K. </w:t>
      </w:r>
      <w:r w:rsidRPr="002712C1">
        <w:rPr>
          <w:rFonts w:ascii="Times New Roman" w:hAnsi="Times New Roman"/>
          <w:i/>
          <w:iCs/>
          <w:sz w:val="24"/>
          <w:lang w:val="de-DE"/>
        </w:rPr>
        <w:t>High Energy Chemistry</w:t>
      </w:r>
      <w:r w:rsidRPr="002712C1">
        <w:rPr>
          <w:rFonts w:ascii="Times New Roman" w:hAnsi="Times New Roman"/>
          <w:sz w:val="24"/>
          <w:lang w:val="de-DE"/>
        </w:rPr>
        <w:t xml:space="preserve">, </w:t>
      </w:r>
      <w:r w:rsidRPr="002712C1">
        <w:rPr>
          <w:rFonts w:ascii="Times New Roman" w:hAnsi="Times New Roman"/>
          <w:b/>
          <w:sz w:val="24"/>
          <w:lang w:val="de-DE"/>
        </w:rPr>
        <w:t>2020</w:t>
      </w:r>
      <w:r w:rsidRPr="002712C1">
        <w:rPr>
          <w:rFonts w:ascii="Times New Roman" w:hAnsi="Times New Roman"/>
          <w:sz w:val="24"/>
          <w:lang w:val="de-DE"/>
        </w:rPr>
        <w:t xml:space="preserve">, </w:t>
      </w:r>
      <w:r w:rsidRPr="002712C1">
        <w:rPr>
          <w:rFonts w:ascii="Times New Roman" w:hAnsi="Times New Roman"/>
          <w:i/>
          <w:iCs/>
          <w:sz w:val="24"/>
          <w:lang w:val="de-DE"/>
        </w:rPr>
        <w:t>54</w:t>
      </w:r>
      <w:r w:rsidRPr="002712C1">
        <w:rPr>
          <w:rFonts w:ascii="Times New Roman" w:hAnsi="Times New Roman"/>
          <w:sz w:val="24"/>
          <w:lang w:val="de-DE"/>
        </w:rPr>
        <w:t>, 303.</w:t>
      </w:r>
    </w:p>
    <w:p w14:paraId="503EFC38" w14:textId="77777777" w:rsidR="00CC139B" w:rsidRPr="00A33C34" w:rsidRDefault="00CC139B" w:rsidP="00CC139B">
      <w:pPr>
        <w:rPr>
          <w:rFonts w:ascii="Times New Roman" w:hAnsi="Times New Roman"/>
          <w:sz w:val="24"/>
          <w:lang w:val="de-DE"/>
        </w:rPr>
      </w:pPr>
      <w:r w:rsidRPr="002712C1">
        <w:rPr>
          <w:rFonts w:ascii="Times New Roman" w:hAnsi="Times New Roman"/>
          <w:sz w:val="24"/>
          <w:lang w:val="de-DE"/>
        </w:rPr>
        <w:t xml:space="preserve">[4] </w:t>
      </w:r>
      <w:proofErr w:type="spellStart"/>
      <w:r w:rsidRPr="002712C1">
        <w:rPr>
          <w:rFonts w:ascii="Times New Roman" w:hAnsi="Times New Roman"/>
          <w:sz w:val="24"/>
          <w:lang w:val="de-DE"/>
        </w:rPr>
        <w:t>Vatsadze</w:t>
      </w:r>
      <w:proofErr w:type="spellEnd"/>
      <w:r w:rsidRPr="002712C1">
        <w:rPr>
          <w:rFonts w:ascii="Times New Roman" w:hAnsi="Times New Roman"/>
          <w:sz w:val="24"/>
          <w:lang w:val="de-DE"/>
        </w:rPr>
        <w:t xml:space="preserve">, S.Z.; Gavrilova, G.V.; </w:t>
      </w:r>
      <w:proofErr w:type="spellStart"/>
      <w:r w:rsidRPr="002712C1">
        <w:rPr>
          <w:rFonts w:ascii="Times New Roman" w:hAnsi="Times New Roman"/>
          <w:sz w:val="24"/>
          <w:lang w:val="de-DE"/>
        </w:rPr>
        <w:t>Zyuz´kevich</w:t>
      </w:r>
      <w:proofErr w:type="spellEnd"/>
      <w:r w:rsidRPr="002712C1">
        <w:rPr>
          <w:rFonts w:ascii="Times New Roman" w:hAnsi="Times New Roman"/>
          <w:sz w:val="24"/>
          <w:lang w:val="de-DE"/>
        </w:rPr>
        <w:t xml:space="preserve">, F.S.; </w:t>
      </w:r>
      <w:proofErr w:type="spellStart"/>
      <w:r w:rsidRPr="002712C1">
        <w:rPr>
          <w:rFonts w:ascii="Times New Roman" w:hAnsi="Times New Roman"/>
          <w:sz w:val="24"/>
          <w:lang w:val="de-DE"/>
        </w:rPr>
        <w:t>Nuriev</w:t>
      </w:r>
      <w:proofErr w:type="spellEnd"/>
      <w:r w:rsidRPr="002712C1">
        <w:rPr>
          <w:rFonts w:ascii="Times New Roman" w:hAnsi="Times New Roman"/>
          <w:sz w:val="24"/>
          <w:lang w:val="de-DE"/>
        </w:rPr>
        <w:t xml:space="preserve">, V.N.; </w:t>
      </w:r>
      <w:proofErr w:type="spellStart"/>
      <w:r w:rsidRPr="002712C1">
        <w:rPr>
          <w:rFonts w:ascii="Times New Roman" w:hAnsi="Times New Roman"/>
          <w:sz w:val="24"/>
          <w:lang w:val="de-DE"/>
        </w:rPr>
        <w:t>Krut´ko</w:t>
      </w:r>
      <w:proofErr w:type="spellEnd"/>
      <w:r w:rsidRPr="002712C1">
        <w:rPr>
          <w:rFonts w:ascii="Times New Roman" w:hAnsi="Times New Roman"/>
          <w:sz w:val="24"/>
          <w:lang w:val="de-DE"/>
        </w:rPr>
        <w:t xml:space="preserve">, D.P.; Moiseeva, A.A.; </w:t>
      </w:r>
      <w:proofErr w:type="spellStart"/>
      <w:r w:rsidRPr="002712C1">
        <w:rPr>
          <w:rFonts w:ascii="Times New Roman" w:hAnsi="Times New Roman"/>
          <w:sz w:val="24"/>
          <w:lang w:val="de-DE"/>
        </w:rPr>
        <w:t>Shumyantsev</w:t>
      </w:r>
      <w:proofErr w:type="spellEnd"/>
      <w:r w:rsidRPr="002712C1">
        <w:rPr>
          <w:rFonts w:ascii="Times New Roman" w:hAnsi="Times New Roman"/>
          <w:sz w:val="24"/>
          <w:lang w:val="de-DE"/>
        </w:rPr>
        <w:t xml:space="preserve">, A.V.; </w:t>
      </w:r>
      <w:proofErr w:type="spellStart"/>
      <w:r w:rsidRPr="002712C1">
        <w:rPr>
          <w:rFonts w:ascii="Times New Roman" w:hAnsi="Times New Roman"/>
          <w:sz w:val="24"/>
          <w:lang w:val="de-DE"/>
        </w:rPr>
        <w:t>Vedernikov</w:t>
      </w:r>
      <w:proofErr w:type="spellEnd"/>
      <w:r w:rsidRPr="002712C1">
        <w:rPr>
          <w:rFonts w:ascii="Times New Roman" w:hAnsi="Times New Roman"/>
          <w:sz w:val="24"/>
          <w:lang w:val="de-DE"/>
        </w:rPr>
        <w:t xml:space="preserve">, A.I.; </w:t>
      </w:r>
      <w:proofErr w:type="spellStart"/>
      <w:r w:rsidRPr="002712C1">
        <w:rPr>
          <w:rFonts w:ascii="Times New Roman" w:hAnsi="Times New Roman"/>
          <w:sz w:val="24"/>
          <w:lang w:val="de-DE"/>
        </w:rPr>
        <w:t>Churakov</w:t>
      </w:r>
      <w:proofErr w:type="spellEnd"/>
      <w:r w:rsidRPr="002712C1">
        <w:rPr>
          <w:rFonts w:ascii="Times New Roman" w:hAnsi="Times New Roman"/>
          <w:sz w:val="24"/>
          <w:lang w:val="de-DE"/>
        </w:rPr>
        <w:t xml:space="preserve">, A.V.; </w:t>
      </w:r>
      <w:proofErr w:type="spellStart"/>
      <w:r w:rsidRPr="002712C1">
        <w:rPr>
          <w:rFonts w:ascii="Times New Roman" w:hAnsi="Times New Roman"/>
          <w:sz w:val="24"/>
          <w:lang w:val="de-DE"/>
        </w:rPr>
        <w:t>Kuz´mina</w:t>
      </w:r>
      <w:proofErr w:type="spellEnd"/>
      <w:r w:rsidRPr="002712C1">
        <w:rPr>
          <w:rFonts w:ascii="Times New Roman" w:hAnsi="Times New Roman"/>
          <w:sz w:val="24"/>
          <w:lang w:val="de-DE"/>
        </w:rPr>
        <w:t xml:space="preserve">, L.G.; Howard, J.A.K.; Gromov, S. P. </w:t>
      </w:r>
      <w:r w:rsidRPr="002712C1">
        <w:rPr>
          <w:rFonts w:ascii="Times New Roman" w:hAnsi="Times New Roman"/>
          <w:i/>
          <w:iCs/>
          <w:sz w:val="24"/>
          <w:lang w:val="de-DE"/>
        </w:rPr>
        <w:t>Russ. Chem. Bull.</w:t>
      </w:r>
      <w:r w:rsidRPr="002712C1">
        <w:rPr>
          <w:rFonts w:ascii="Times New Roman" w:hAnsi="Times New Roman"/>
          <w:sz w:val="24"/>
          <w:lang w:val="de-DE"/>
        </w:rPr>
        <w:t xml:space="preserve">, </w:t>
      </w:r>
      <w:r w:rsidRPr="002712C1">
        <w:rPr>
          <w:rFonts w:ascii="Times New Roman" w:hAnsi="Times New Roman"/>
          <w:b/>
          <w:sz w:val="24"/>
          <w:lang w:val="de-DE"/>
        </w:rPr>
        <w:t>2016</w:t>
      </w:r>
      <w:r w:rsidRPr="002712C1">
        <w:rPr>
          <w:rFonts w:ascii="Times New Roman" w:hAnsi="Times New Roman"/>
          <w:sz w:val="24"/>
          <w:lang w:val="de-DE"/>
        </w:rPr>
        <w:t xml:space="preserve">, </w:t>
      </w:r>
      <w:r w:rsidRPr="002712C1">
        <w:rPr>
          <w:rFonts w:ascii="Times New Roman" w:hAnsi="Times New Roman"/>
          <w:i/>
          <w:iCs/>
          <w:sz w:val="24"/>
          <w:lang w:val="de-DE"/>
        </w:rPr>
        <w:t>65</w:t>
      </w:r>
      <w:r w:rsidRPr="002712C1">
        <w:rPr>
          <w:rFonts w:ascii="Times New Roman" w:hAnsi="Times New Roman"/>
          <w:sz w:val="24"/>
          <w:lang w:val="de-DE"/>
        </w:rPr>
        <w:t>, 1761.</w:t>
      </w:r>
    </w:p>
    <w:p w14:paraId="4E556507" w14:textId="77777777" w:rsidR="005D6E80" w:rsidRDefault="005D6E80"/>
    <w:sectPr w:rsidR="005D6E80" w:rsidSect="002460A1">
      <w:headerReference w:type="default" r:id="rId7"/>
      <w:pgSz w:w="11906" w:h="16838"/>
      <w:pgMar w:top="1134" w:right="849" w:bottom="1134" w:left="1701" w:header="680"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0305" w14:textId="77777777" w:rsidR="00591EF2" w:rsidRDefault="00591EF2">
      <w:r>
        <w:separator/>
      </w:r>
    </w:p>
  </w:endnote>
  <w:endnote w:type="continuationSeparator" w:id="0">
    <w:p w14:paraId="2C33D3C0" w14:textId="77777777" w:rsidR="00591EF2" w:rsidRDefault="0059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67D8" w14:textId="77777777" w:rsidR="00591EF2" w:rsidRDefault="00591EF2">
      <w:r>
        <w:separator/>
      </w:r>
    </w:p>
  </w:footnote>
  <w:footnote w:type="continuationSeparator" w:id="0">
    <w:p w14:paraId="14910D11" w14:textId="77777777" w:rsidR="00591EF2" w:rsidRDefault="00591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AF98" w14:textId="77777777" w:rsidR="006709C3" w:rsidRPr="0010227D" w:rsidRDefault="00000000" w:rsidP="006177DE">
    <w:pPr>
      <w:pStyle w:val="a3"/>
      <w:jc w:val="center"/>
      <w:rPr>
        <w:rFonts w:ascii="Cambria" w:hAnsi="Cambria"/>
        <w:sz w:val="28"/>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9B"/>
    <w:rsid w:val="002B6CC6"/>
    <w:rsid w:val="00591EF2"/>
    <w:rsid w:val="005D6E80"/>
    <w:rsid w:val="00CC1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87D6"/>
  <w15:chartTrackingRefBased/>
  <w15:docId w15:val="{D77B3D6E-C1EE-4926-AEB3-2346BAD1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39B"/>
    <w:pPr>
      <w:widowControl w:val="0"/>
      <w:spacing w:after="0" w:line="240" w:lineRule="auto"/>
      <w:jc w:val="both"/>
    </w:pPr>
    <w:rPr>
      <w:rFonts w:ascii="Century" w:eastAsia="MS Mincho" w:hAnsi="Century" w:cs="Times New Roman"/>
      <w:kern w:val="2"/>
      <w:sz w:val="21"/>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139B"/>
    <w:pPr>
      <w:widowControl/>
      <w:tabs>
        <w:tab w:val="center" w:pos="4677"/>
        <w:tab w:val="right" w:pos="9355"/>
      </w:tabs>
      <w:jc w:val="left"/>
    </w:pPr>
    <w:rPr>
      <w:rFonts w:ascii="Calibri" w:eastAsia="Times New Roman" w:hAnsi="Calibri"/>
      <w:kern w:val="0"/>
      <w:sz w:val="22"/>
      <w:szCs w:val="22"/>
      <w:lang w:val="ru-RU" w:eastAsia="en-US"/>
    </w:rPr>
  </w:style>
  <w:style w:type="character" w:customStyle="1" w:styleId="a4">
    <w:name w:val="Верхний колонтитул Знак"/>
    <w:basedOn w:val="a0"/>
    <w:link w:val="a3"/>
    <w:rsid w:val="00CC139B"/>
    <w:rPr>
      <w:rFonts w:ascii="Calibri" w:eastAsia="Times New Roman" w:hAnsi="Calibri" w:cs="Times New Roman"/>
    </w:rPr>
  </w:style>
  <w:style w:type="table" w:styleId="a5">
    <w:name w:val="Table Grid"/>
    <w:basedOn w:val="a1"/>
    <w:rsid w:val="00CC139B"/>
    <w:pPr>
      <w:widowControl w:val="0"/>
      <w:spacing w:after="0" w:line="240" w:lineRule="auto"/>
      <w:jc w:val="both"/>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Старостин</dc:creator>
  <cp:keywords/>
  <dc:description/>
  <cp:lastModifiedBy>Роман Старостин</cp:lastModifiedBy>
  <cp:revision>2</cp:revision>
  <dcterms:created xsi:type="dcterms:W3CDTF">2022-11-16T10:19:00Z</dcterms:created>
  <dcterms:modified xsi:type="dcterms:W3CDTF">2023-02-16T01:40:00Z</dcterms:modified>
</cp:coreProperties>
</file>