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469BF6">
      <w:pPr>
        <w:spacing w:line="360" w:lineRule="auto"/>
        <w:ind w:firstLine="851"/>
        <w:jc w:val="center"/>
        <w:rPr>
          <w:sz w:val="28"/>
          <w:szCs w:val="28"/>
        </w:rPr>
      </w:pPr>
      <w:bookmarkStart w:id="27" w:name="_GoBack"/>
      <w:bookmarkEnd w:id="27"/>
      <w:r>
        <mc:AlternateContent>
          <mc:Choice Requires="wps">
            <w:drawing>
              <wp:anchor distT="0" distB="0" distL="114300" distR="114300" simplePos="0" relativeHeight="251661312" behindDoc="0" locked="0" layoutInCell="1" hidden="1" allowOverlap="1">
                <wp:simplePos x="0" y="0"/>
                <wp:positionH relativeFrom="column">
                  <wp:posOffset>0</wp:posOffset>
                </wp:positionH>
                <wp:positionV relativeFrom="paragraph">
                  <wp:posOffset>0</wp:posOffset>
                </wp:positionV>
                <wp:extent cx="635000" cy="635000"/>
                <wp:effectExtent l="0" t="0" r="3175" b="3175"/>
                <wp:wrapNone/>
                <wp:docPr id="29" name="_x0000_tole_rId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txbx>
                        <w:txbxContent>
                          <w:p w14:paraId="2DEC1BE7">
                            <w:pPr>
                              <w:jc w:val="center"/>
                            </w:pPr>
                          </w:p>
                        </w:txbxContent>
                      </wps:txbx>
                      <wps:bodyPr rot="0" vert="horz" wrap="square" lIns="91440" tIns="45720" rIns="91440" bIns="45720" anchor="t" anchorCtr="0" upright="1">
                        <a:noAutofit/>
                      </wps:bodyPr>
                    </wps:wsp>
                  </a:graphicData>
                </a:graphic>
              </wp:anchor>
            </w:drawing>
          </mc:Choice>
          <mc:Fallback>
            <w:pict>
              <v:rect id="_x0000_tole_rId2" o:spid="_x0000_s1026" o:spt="1" style="position:absolute;left:0pt;margin-left:0pt;margin-top:0pt;height:50pt;width:50pt;visibility:hidden;z-index:251661312;mso-width-relative:page;mso-height-relative:page;" filled="f" stroked="f" coordsize="21600,21600" o:gfxdata="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S4DoLRAAAABQEAAA8AAAAAAAAAAQAgAAAAIgAAAGRycy9k&#10;b3ducmV2LnhtbFBLAQIUABQAAAAIAIdO4kCi6g6gCQIAACMEAAAOAAAAAAAAAAEAIAAAACABAABk&#10;cnMvZTJvRG9jLnhtbFBLBQYAAAAABgAGAFkBAACbBQAAAAA=&#10;">
                <v:fill on="f" focussize="0,0"/>
                <v:stroke on="f"/>
                <v:imagedata o:title=""/>
                <o:lock v:ext="edit" selection="t" aspectratio="t"/>
                <v:textbox>
                  <w:txbxContent>
                    <w:p w14:paraId="2DEC1BE7">
                      <w:pPr>
                        <w:jc w:val="center"/>
                      </w:pPr>
                    </w:p>
                  </w:txbxContent>
                </v:textbox>
              </v:rect>
            </w:pict>
          </mc:Fallback>
        </mc:AlternateContent>
      </w:r>
      <w:r>
        <w:rPr>
          <w:sz w:val="28"/>
          <w:szCs w:val="28"/>
        </w:rPr>
        <w:t xml:space="preserve">ГОСУДАРСТВЕННЫЙ УНИВЕРСИТЕТ </w:t>
      </w:r>
    </w:p>
    <w:p w14:paraId="78E2E635">
      <w:pPr>
        <w:pBdr>
          <w:bottom w:val="single" w:color="auto" w:sz="4" w:space="1"/>
        </w:pBdr>
        <w:spacing w:line="360" w:lineRule="auto"/>
        <w:ind w:firstLine="851"/>
        <w:jc w:val="center"/>
        <w:rPr>
          <w:sz w:val="28"/>
          <w:szCs w:val="28"/>
        </w:rPr>
      </w:pPr>
      <w:r>
        <w:rPr>
          <w:sz w:val="28"/>
          <w:szCs w:val="28"/>
        </w:rPr>
        <w:pict>
          <v:shape id="ole_rId2" o:spid="_x0000_s1027" o:spt="75" type="#_x0000_t75" style="position:absolute;left:0pt;margin-left:141pt;margin-top:43.9pt;height:104.75pt;width:264.85pt;mso-wrap-distance-bottom:0pt;mso-wrap-distance-top:0pt;z-index:251662336;mso-width-relative:page;mso-height-relative:page;" o:ole="t" filled="f" o:preferrelative="t" stroked="f" coordsize="21600,21600">
            <v:path/>
            <v:fill on="f" focussize="0,0"/>
            <v:stroke on="f" joinstyle="miter"/>
            <v:imagedata r:id="rId6" o:title=""/>
            <o:lock v:ext="edit" aspectratio="t"/>
            <w10:wrap type="topAndBottom"/>
          </v:shape>
          <o:OLEObject Type="Embed" ProgID="Word.Picture.8" ShapeID="ole_rId2" DrawAspect="Content" ObjectID="_1468075725" r:id="rId5">
            <o:LockedField>false</o:LockedField>
          </o:OLEObject>
        </w:pict>
      </w:r>
      <w:r>
        <w:rPr>
          <w:sz w:val="28"/>
          <w:szCs w:val="28"/>
        </w:rPr>
        <w:t>имени М. В. Ломоносова</w:t>
      </w:r>
    </w:p>
    <w:p w14:paraId="19C91BF8">
      <w:pPr>
        <w:spacing w:line="360" w:lineRule="auto"/>
        <w:ind w:firstLine="851"/>
        <w:rPr>
          <w:sz w:val="28"/>
          <w:szCs w:val="28"/>
        </w:rPr>
      </w:pPr>
    </w:p>
    <w:p w14:paraId="5CEC94DD">
      <w:pPr>
        <w:spacing w:line="360" w:lineRule="auto"/>
        <w:ind w:firstLine="851"/>
        <w:rPr>
          <w:sz w:val="28"/>
          <w:szCs w:val="28"/>
        </w:rPr>
      </w:pPr>
      <w:r>
        <w:rPr>
          <w:sz w:val="28"/>
          <w:szCs w:val="28"/>
        </w:rPr>
        <w:t xml:space="preserve">                                 </w:t>
      </w:r>
    </w:p>
    <w:p w14:paraId="3C93E38A">
      <w:pPr>
        <w:spacing w:line="360" w:lineRule="auto"/>
        <w:ind w:firstLine="851"/>
        <w:jc w:val="center"/>
        <w:rPr>
          <w:sz w:val="28"/>
          <w:szCs w:val="28"/>
        </w:rPr>
      </w:pPr>
      <w:r>
        <w:rPr>
          <w:sz w:val="28"/>
          <w:szCs w:val="28"/>
        </w:rPr>
        <w:t>ХИМИЧЕСКИЙ ФАКУЛЬТЕТ</w:t>
      </w:r>
    </w:p>
    <w:p w14:paraId="45A1E9EC">
      <w:pPr>
        <w:spacing w:line="360" w:lineRule="auto"/>
        <w:jc w:val="center"/>
        <w:rPr>
          <w:sz w:val="28"/>
          <w:szCs w:val="28"/>
        </w:rPr>
      </w:pPr>
      <w:r>
        <w:rPr>
          <w:sz w:val="28"/>
          <w:szCs w:val="28"/>
        </w:rPr>
        <w:t>Курсовая работа по неорганической химии</w:t>
      </w:r>
    </w:p>
    <w:p w14:paraId="2CCF08A8">
      <w:pPr>
        <w:spacing w:line="360" w:lineRule="auto"/>
        <w:jc w:val="center"/>
        <w:rPr>
          <w:sz w:val="28"/>
          <w:szCs w:val="28"/>
        </w:rPr>
      </w:pPr>
      <w:r>
        <w:rPr>
          <w:sz w:val="28"/>
          <w:szCs w:val="28"/>
        </w:rPr>
        <w:t>Химический факультет</w:t>
      </w:r>
    </w:p>
    <w:p w14:paraId="341513BB">
      <w:pPr>
        <w:spacing w:line="360" w:lineRule="auto"/>
        <w:jc w:val="center"/>
        <w:rPr>
          <w:sz w:val="28"/>
          <w:szCs w:val="28"/>
        </w:rPr>
      </w:pPr>
    </w:p>
    <w:p w14:paraId="24A58F02">
      <w:pPr>
        <w:spacing w:line="360" w:lineRule="auto"/>
        <w:jc w:val="center"/>
        <w:rPr>
          <w:rFonts w:eastAsia="Calibri"/>
          <w:sz w:val="28"/>
          <w:szCs w:val="28"/>
        </w:rPr>
      </w:pPr>
      <w:r>
        <w:rPr>
          <w:sz w:val="28"/>
          <w:szCs w:val="28"/>
        </w:rPr>
        <w:t>Кафедра общей химии</w:t>
      </w:r>
    </w:p>
    <w:p w14:paraId="5BACE414">
      <w:pPr>
        <w:pStyle w:val="36"/>
        <w:spacing w:line="360" w:lineRule="auto"/>
        <w:jc w:val="center"/>
        <w:rPr>
          <w:rFonts w:ascii="Times New Roman" w:hAnsi="Times New Roman"/>
          <w:sz w:val="28"/>
          <w:szCs w:val="28"/>
        </w:rPr>
      </w:pPr>
    </w:p>
    <w:p w14:paraId="691B6209">
      <w:pPr>
        <w:pStyle w:val="36"/>
        <w:spacing w:line="360" w:lineRule="auto"/>
        <w:jc w:val="center"/>
        <w:rPr>
          <w:rFonts w:ascii="Times New Roman" w:hAnsi="Times New Roman"/>
          <w:b/>
          <w:sz w:val="28"/>
          <w:szCs w:val="28"/>
        </w:rPr>
      </w:pPr>
      <w:r>
        <w:rPr>
          <w:rFonts w:ascii="Times New Roman" w:hAnsi="Times New Roman"/>
          <w:b/>
          <w:sz w:val="28"/>
          <w:szCs w:val="28"/>
        </w:rPr>
        <w:t>«</w:t>
      </w:r>
      <w:r>
        <w:rPr>
          <w:rFonts w:ascii="Times New Roman" w:hAnsi="Times New Roman"/>
          <w:b/>
          <w:bCs/>
          <w:sz w:val="28"/>
          <w:szCs w:val="28"/>
        </w:rPr>
        <w:t xml:space="preserve">Синтез послойных никель хромовых покрытий на поверхности сплавов системы: </w:t>
      </w:r>
      <w:r>
        <w:rPr>
          <w:rFonts w:ascii="Times New Roman" w:hAnsi="Times New Roman"/>
          <w:b/>
          <w:bCs/>
          <w:sz w:val="28"/>
          <w:szCs w:val="28"/>
          <w:lang w:val="en-US"/>
        </w:rPr>
        <w:t>Co</w:t>
      </w:r>
      <w:r>
        <w:rPr>
          <w:rFonts w:ascii="Times New Roman" w:hAnsi="Times New Roman"/>
          <w:b/>
          <w:bCs/>
          <w:sz w:val="28"/>
          <w:szCs w:val="28"/>
        </w:rPr>
        <w:t>-</w:t>
      </w:r>
      <w:r>
        <w:rPr>
          <w:rFonts w:ascii="Times New Roman" w:hAnsi="Times New Roman"/>
          <w:b/>
          <w:bCs/>
          <w:sz w:val="28"/>
          <w:szCs w:val="28"/>
          <w:lang w:val="en-US"/>
        </w:rPr>
        <w:t>Re</w:t>
      </w:r>
      <w:r>
        <w:rPr>
          <w:rFonts w:ascii="Times New Roman" w:hAnsi="Times New Roman"/>
          <w:b/>
          <w:bCs/>
          <w:sz w:val="28"/>
          <w:szCs w:val="28"/>
        </w:rPr>
        <w:t>-</w:t>
      </w:r>
      <w:r>
        <w:rPr>
          <w:rFonts w:ascii="Times New Roman" w:hAnsi="Times New Roman"/>
          <w:b/>
          <w:bCs/>
          <w:sz w:val="28"/>
          <w:szCs w:val="28"/>
          <w:lang w:val="en-US"/>
        </w:rPr>
        <w:t>Nb</w:t>
      </w:r>
      <w:r>
        <w:rPr>
          <w:rFonts w:ascii="Times New Roman" w:hAnsi="Times New Roman"/>
          <w:b/>
          <w:bCs/>
          <w:sz w:val="28"/>
          <w:szCs w:val="28"/>
        </w:rPr>
        <w:t>.</w:t>
      </w:r>
      <w:r>
        <w:rPr>
          <w:rFonts w:ascii="Times New Roman" w:hAnsi="Times New Roman"/>
          <w:b/>
          <w:sz w:val="28"/>
          <w:szCs w:val="28"/>
        </w:rPr>
        <w:t>»</w:t>
      </w:r>
    </w:p>
    <w:p w14:paraId="5F5F1E36">
      <w:pPr>
        <w:pStyle w:val="36"/>
        <w:spacing w:line="360" w:lineRule="auto"/>
        <w:jc w:val="center"/>
        <w:rPr>
          <w:rFonts w:ascii="Times New Roman" w:hAnsi="Times New Roman"/>
          <w:b/>
          <w:sz w:val="28"/>
          <w:szCs w:val="28"/>
        </w:rPr>
      </w:pPr>
    </w:p>
    <w:p w14:paraId="302BFEBD">
      <w:pPr>
        <w:pStyle w:val="36"/>
        <w:spacing w:line="360" w:lineRule="auto"/>
        <w:ind w:firstLine="4962"/>
        <w:jc w:val="right"/>
        <w:rPr>
          <w:rFonts w:ascii="Times New Roman" w:hAnsi="Times New Roman"/>
          <w:sz w:val="28"/>
          <w:szCs w:val="28"/>
        </w:rPr>
      </w:pPr>
      <w:r>
        <w:rPr>
          <w:rFonts w:ascii="Times New Roman" w:hAnsi="Times New Roman"/>
          <w:sz w:val="28"/>
          <w:szCs w:val="28"/>
        </w:rPr>
        <w:t xml:space="preserve">Курсовая работа </w:t>
      </w:r>
    </w:p>
    <w:p w14:paraId="6B883656">
      <w:pPr>
        <w:pStyle w:val="36"/>
        <w:spacing w:line="360" w:lineRule="auto"/>
        <w:ind w:firstLine="4962"/>
        <w:jc w:val="right"/>
        <w:rPr>
          <w:rFonts w:ascii="Times New Roman" w:hAnsi="Times New Roman"/>
          <w:sz w:val="28"/>
          <w:szCs w:val="28"/>
        </w:rPr>
      </w:pPr>
      <w:r>
        <w:rPr>
          <w:rFonts w:ascii="Times New Roman" w:hAnsi="Times New Roman"/>
          <w:sz w:val="28"/>
          <w:szCs w:val="28"/>
        </w:rPr>
        <w:t>по неорганической химии</w:t>
      </w:r>
    </w:p>
    <w:p w14:paraId="69E26CF9">
      <w:pPr>
        <w:pStyle w:val="36"/>
        <w:spacing w:line="360" w:lineRule="auto"/>
        <w:ind w:firstLine="4962"/>
        <w:jc w:val="right"/>
        <w:rPr>
          <w:rFonts w:ascii="Times New Roman" w:hAnsi="Times New Roman"/>
          <w:sz w:val="28"/>
          <w:szCs w:val="28"/>
        </w:rPr>
      </w:pPr>
      <w:r>
        <w:rPr>
          <w:rFonts w:ascii="Times New Roman" w:hAnsi="Times New Roman"/>
          <w:sz w:val="28"/>
          <w:szCs w:val="28"/>
        </w:rPr>
        <w:t xml:space="preserve">студента 107 группы </w:t>
      </w:r>
    </w:p>
    <w:p w14:paraId="3ACBA940">
      <w:pPr>
        <w:spacing w:line="360" w:lineRule="auto"/>
        <w:ind w:left="4962"/>
        <w:jc w:val="right"/>
        <w:rPr>
          <w:b/>
          <w:i/>
          <w:sz w:val="28"/>
          <w:szCs w:val="28"/>
        </w:rPr>
      </w:pPr>
      <w:r>
        <w:rPr>
          <w:b/>
          <w:i/>
          <w:sz w:val="28"/>
          <w:szCs w:val="28"/>
        </w:rPr>
        <w:t>Андреева П. П</w:t>
      </w:r>
    </w:p>
    <w:p w14:paraId="48F3B3A9">
      <w:pPr>
        <w:spacing w:line="360" w:lineRule="auto"/>
        <w:ind w:left="4962"/>
        <w:jc w:val="right"/>
        <w:rPr>
          <w:sz w:val="28"/>
          <w:szCs w:val="28"/>
        </w:rPr>
      </w:pPr>
      <w:r>
        <w:rPr>
          <w:sz w:val="28"/>
          <w:szCs w:val="28"/>
        </w:rPr>
        <w:t>Научный руководитель:</w:t>
      </w:r>
    </w:p>
    <w:p w14:paraId="0E984F77">
      <w:pPr>
        <w:spacing w:line="360" w:lineRule="auto"/>
        <w:ind w:left="4962"/>
        <w:jc w:val="right"/>
        <w:rPr>
          <w:sz w:val="28"/>
          <w:szCs w:val="28"/>
        </w:rPr>
      </w:pPr>
      <w:r>
        <w:rPr>
          <w:sz w:val="28"/>
          <w:szCs w:val="28"/>
        </w:rPr>
        <w:t xml:space="preserve">с.н.с., к.х.н. </w:t>
      </w:r>
      <w:r>
        <w:rPr>
          <w:b/>
          <w:i/>
          <w:sz w:val="28"/>
          <w:szCs w:val="28"/>
        </w:rPr>
        <w:t>Л.А.Фишгойт</w:t>
      </w:r>
    </w:p>
    <w:p w14:paraId="478151AE">
      <w:pPr>
        <w:spacing w:line="360" w:lineRule="auto"/>
        <w:ind w:left="4962"/>
        <w:jc w:val="right"/>
        <w:rPr>
          <w:sz w:val="28"/>
          <w:szCs w:val="28"/>
        </w:rPr>
      </w:pPr>
      <w:r>
        <w:rPr>
          <w:sz w:val="28"/>
          <w:szCs w:val="28"/>
        </w:rPr>
        <w:t xml:space="preserve">Преподаватель группы:    </w:t>
      </w:r>
    </w:p>
    <w:p w14:paraId="496148A0">
      <w:pPr>
        <w:spacing w:line="360" w:lineRule="auto"/>
        <w:ind w:left="4962"/>
        <w:jc w:val="right"/>
        <w:rPr>
          <w:sz w:val="28"/>
          <w:szCs w:val="28"/>
        </w:rPr>
      </w:pPr>
      <w:r>
        <w:rPr>
          <w:sz w:val="28"/>
          <w:szCs w:val="28"/>
        </w:rPr>
        <w:t xml:space="preserve">к.х.н. </w:t>
      </w:r>
      <w:r>
        <w:rPr>
          <w:b/>
          <w:i/>
          <w:sz w:val="28"/>
          <w:szCs w:val="28"/>
        </w:rPr>
        <w:t>Знаменков К. О</w:t>
      </w:r>
      <w:r>
        <w:rPr>
          <w:sz w:val="28"/>
          <w:szCs w:val="28"/>
        </w:rPr>
        <w:t xml:space="preserve">.                                    </w:t>
      </w:r>
    </w:p>
    <w:p w14:paraId="38D81919">
      <w:pPr>
        <w:spacing w:line="360" w:lineRule="auto"/>
        <w:ind w:left="4962"/>
        <w:jc w:val="right"/>
        <w:rPr>
          <w:sz w:val="28"/>
          <w:szCs w:val="28"/>
        </w:rPr>
      </w:pPr>
      <w:r>
        <w:rPr>
          <w:color w:val="212529"/>
          <w:sz w:val="28"/>
          <w:szCs w:val="28"/>
          <w:shd w:val="clear" w:color="auto" w:fill="FFFFFF"/>
        </w:rPr>
        <w:t xml:space="preserve">д.х.н. </w:t>
      </w:r>
      <w:r>
        <w:rPr>
          <w:b/>
          <w:i/>
          <w:color w:val="212529"/>
          <w:sz w:val="28"/>
          <w:szCs w:val="28"/>
          <w:shd w:val="clear" w:color="auto" w:fill="FFFFFF"/>
        </w:rPr>
        <w:t>Чаркин Д. О</w:t>
      </w:r>
      <w:r>
        <w:rPr>
          <w:color w:val="212529"/>
          <w:sz w:val="28"/>
          <w:szCs w:val="28"/>
          <w:shd w:val="clear" w:color="auto" w:fill="FFFFFF"/>
        </w:rPr>
        <w:t>.</w:t>
      </w:r>
    </w:p>
    <w:p w14:paraId="492EA9C3">
      <w:pPr>
        <w:spacing w:line="360" w:lineRule="auto"/>
        <w:ind w:left="4962"/>
        <w:jc w:val="right"/>
        <w:rPr>
          <w:b/>
          <w:bCs/>
        </w:rPr>
      </w:pPr>
    </w:p>
    <w:p w14:paraId="7677857B">
      <w:pPr>
        <w:jc w:val="center"/>
        <w:rPr>
          <w:b/>
        </w:rPr>
      </w:pPr>
      <w:r>
        <w:rPr>
          <w:b/>
        </w:rPr>
        <w:t>Москва 2024</w:t>
      </w:r>
    </w:p>
    <w:p w14:paraId="0D232B30">
      <w:pPr>
        <w:jc w:val="center"/>
        <w:rPr>
          <w:b/>
        </w:rPr>
      </w:pPr>
    </w:p>
    <w:p w14:paraId="6E998E29">
      <w:pPr>
        <w:pStyle w:val="34"/>
        <w:spacing w:before="0"/>
        <w:rPr>
          <w:rFonts w:asciiTheme="minorHAnsi" w:hAnsiTheme="minorHAnsi" w:eastAsiaTheme="minorHAnsi" w:cstheme="minorBidi"/>
          <w:b w:val="0"/>
          <w:bCs w:val="0"/>
          <w:color w:val="auto"/>
          <w:sz w:val="22"/>
          <w:szCs w:val="22"/>
          <w:lang w:eastAsia="en-US"/>
        </w:rPr>
      </w:pPr>
    </w:p>
    <w:sdt>
      <w:sdtPr>
        <w:rPr>
          <w:rFonts w:asciiTheme="minorHAnsi" w:hAnsiTheme="minorHAnsi" w:eastAsiaTheme="minorHAnsi" w:cstheme="minorBidi"/>
          <w:b w:val="0"/>
          <w:bCs w:val="0"/>
          <w:color w:val="auto"/>
          <w:sz w:val="22"/>
          <w:szCs w:val="22"/>
          <w:lang w:eastAsia="en-US"/>
        </w:rPr>
        <w:id w:val="712707852"/>
        <w:docPartObj>
          <w:docPartGallery w:val="Table of Contents"/>
          <w:docPartUnique/>
        </w:docPartObj>
      </w:sdtPr>
      <w:sdtEndPr>
        <w:rPr>
          <w:rFonts w:ascii="Times New Roman" w:hAnsi="Times New Roman" w:eastAsia="Times New Roman" w:cs="Times New Roman"/>
          <w:b w:val="0"/>
          <w:bCs w:val="0"/>
          <w:color w:val="auto"/>
          <w:sz w:val="28"/>
          <w:szCs w:val="28"/>
          <w:lang w:eastAsia="ru-RU"/>
        </w:rPr>
      </w:sdtEndPr>
      <w:sdtContent>
        <w:p w14:paraId="406E7966">
          <w:pPr>
            <w:pStyle w:val="34"/>
            <w:rPr>
              <w:rFonts w:asciiTheme="minorHAnsi" w:hAnsiTheme="minorHAnsi" w:eastAsiaTheme="minorHAnsi" w:cstheme="minorBidi"/>
              <w:b w:val="0"/>
              <w:bCs w:val="0"/>
              <w:color w:val="auto"/>
              <w:sz w:val="22"/>
              <w:szCs w:val="22"/>
              <w:lang w:eastAsia="en-US"/>
            </w:rPr>
          </w:pPr>
        </w:p>
        <w:p w14:paraId="42B2AF32">
          <w:pPr>
            <w:pStyle w:val="34"/>
            <w:rPr>
              <w:rFonts w:ascii="Times New Roman" w:hAnsi="Times New Roman" w:cs="Times New Roman"/>
              <w:sz w:val="32"/>
              <w:szCs w:val="32"/>
            </w:rPr>
          </w:pPr>
          <w:r>
            <w:rPr>
              <w:rFonts w:ascii="Times New Roman" w:hAnsi="Times New Roman" w:cs="Times New Roman"/>
              <w:sz w:val="32"/>
              <w:szCs w:val="32"/>
            </w:rPr>
            <w:t>Оглавление</w:t>
          </w:r>
        </w:p>
        <w:p w14:paraId="442BA8CA">
          <w:pPr>
            <w:pStyle w:val="15"/>
            <w:tabs>
              <w:tab w:val="left" w:pos="440"/>
              <w:tab w:val="right" w:leader="dot" w:pos="10456"/>
            </w:tabs>
            <w:jc w:val="both"/>
            <w:rPr>
              <w:rFonts w:ascii="Times New Roman" w:hAnsi="Times New Roman" w:cs="Times New Roman" w:eastAsiaTheme="minorEastAsia"/>
              <w:sz w:val="28"/>
              <w:szCs w:val="28"/>
              <w:lang w:eastAsia="ru-RU"/>
            </w:rPr>
          </w:pPr>
          <w:r>
            <w:rPr>
              <w:rFonts w:ascii="Times New Roman" w:hAnsi="Times New Roman" w:cs="Times New Roman"/>
              <w:sz w:val="28"/>
              <w:szCs w:val="28"/>
            </w:rPr>
            <w:fldChar w:fldCharType="begin"/>
          </w:r>
          <w:r>
            <w:rPr>
              <w:rStyle w:val="32"/>
              <w:rFonts w:ascii="Times New Roman" w:hAnsi="Times New Roman" w:cs="Times New Roman"/>
              <w:sz w:val="28"/>
              <w:szCs w:val="28"/>
            </w:rPr>
            <w:instrText xml:space="preserve"> TOC \z \o "1-3" \u \h</w:instrText>
          </w:r>
          <w:r>
            <w:rPr>
              <w:rStyle w:val="32"/>
            </w:rPr>
            <w:fldChar w:fldCharType="separate"/>
          </w:r>
          <w:r>
            <w:fldChar w:fldCharType="begin"/>
          </w:r>
          <w:r>
            <w:instrText xml:space="preserve"> HYPERLINK \l "_Toc167999791" </w:instrText>
          </w:r>
          <w:r>
            <w:fldChar w:fldCharType="separate"/>
          </w:r>
          <w:r>
            <w:rPr>
              <w:rStyle w:val="7"/>
              <w:rFonts w:ascii="Times New Roman" w:hAnsi="Times New Roman" w:cs="Times New Roman"/>
              <w:sz w:val="28"/>
              <w:szCs w:val="28"/>
            </w:rPr>
            <w:t>1.</w:t>
          </w:r>
          <w:r>
            <w:rPr>
              <w:rFonts w:ascii="Times New Roman" w:hAnsi="Times New Roman" w:cs="Times New Roman" w:eastAsiaTheme="minorEastAsia"/>
              <w:sz w:val="28"/>
              <w:szCs w:val="28"/>
              <w:lang w:eastAsia="ru-RU"/>
            </w:rPr>
            <w:tab/>
          </w:r>
          <w:r>
            <w:rPr>
              <w:rStyle w:val="7"/>
              <w:rFonts w:ascii="Times New Roman" w:hAnsi="Times New Roman" w:cs="Times New Roman"/>
              <w:sz w:val="28"/>
              <w:szCs w:val="28"/>
            </w:rPr>
            <w:t>Введение</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_Toc167999791 \h </w:instrText>
          </w:r>
          <w:r>
            <w:rPr>
              <w:rFonts w:ascii="Times New Roman" w:hAnsi="Times New Roman" w:cs="Times New Roman"/>
              <w:sz w:val="28"/>
              <w:szCs w:val="28"/>
            </w:rPr>
            <w:fldChar w:fldCharType="separate"/>
          </w:r>
          <w:r>
            <w:rPr>
              <w:rFonts w:ascii="Times New Roman" w:hAnsi="Times New Roman" w:cs="Times New Roman"/>
              <w:sz w:val="28"/>
              <w:szCs w:val="28"/>
            </w:rPr>
            <w:t>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1968C720">
          <w:pPr>
            <w:pStyle w:val="15"/>
            <w:tabs>
              <w:tab w:val="right" w:leader="dot" w:pos="10456"/>
            </w:tabs>
            <w:jc w:val="both"/>
            <w:rPr>
              <w:rFonts w:ascii="Times New Roman" w:hAnsi="Times New Roman" w:cs="Times New Roman" w:eastAsiaTheme="minorEastAsia"/>
              <w:sz w:val="28"/>
              <w:szCs w:val="28"/>
              <w:lang w:eastAsia="ru-RU"/>
            </w:rPr>
          </w:pPr>
          <w:r>
            <w:fldChar w:fldCharType="begin"/>
          </w:r>
          <w:r>
            <w:instrText xml:space="preserve"> HYPERLINK \l "_Toc167999792" </w:instrText>
          </w:r>
          <w:r>
            <w:fldChar w:fldCharType="separate"/>
          </w:r>
          <w:r>
            <w:rPr>
              <w:rStyle w:val="7"/>
              <w:rFonts w:ascii="Times New Roman" w:hAnsi="Times New Roman" w:cs="Times New Roman"/>
              <w:sz w:val="28"/>
              <w:szCs w:val="28"/>
            </w:rPr>
            <w:t>2. Литературный обзор</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_Toc167999792 \h </w:instrText>
          </w:r>
          <w:r>
            <w:rPr>
              <w:rFonts w:ascii="Times New Roman" w:hAnsi="Times New Roman" w:cs="Times New Roman"/>
              <w:sz w:val="28"/>
              <w:szCs w:val="28"/>
            </w:rPr>
            <w:fldChar w:fldCharType="separate"/>
          </w:r>
          <w:r>
            <w:rPr>
              <w:rFonts w:ascii="Times New Roman" w:hAnsi="Times New Roman" w:cs="Times New Roman"/>
              <w:sz w:val="28"/>
              <w:szCs w:val="28"/>
            </w:rPr>
            <w:t>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08DCD266">
          <w:pPr>
            <w:pStyle w:val="17"/>
            <w:tabs>
              <w:tab w:val="right" w:leader="dot" w:pos="10456"/>
            </w:tabs>
            <w:jc w:val="both"/>
            <w:rPr>
              <w:rFonts w:ascii="Times New Roman" w:hAnsi="Times New Roman" w:cs="Times New Roman"/>
              <w:sz w:val="28"/>
              <w:szCs w:val="28"/>
            </w:rPr>
          </w:pPr>
          <w:r>
            <w:fldChar w:fldCharType="begin"/>
          </w:r>
          <w:r>
            <w:instrText xml:space="preserve"> HYPERLINK \l "_Toc167999793" </w:instrText>
          </w:r>
          <w:r>
            <w:fldChar w:fldCharType="separate"/>
          </w:r>
          <w:r>
            <w:rPr>
              <w:rStyle w:val="7"/>
              <w:rFonts w:ascii="Times New Roman" w:hAnsi="Times New Roman" w:cs="Times New Roman"/>
              <w:sz w:val="28"/>
              <w:szCs w:val="28"/>
            </w:rPr>
            <w:t>2.1 Метод электрохимического осаждения металлов из водных растворов</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_Toc167999793 \h </w:instrText>
          </w:r>
          <w:r>
            <w:rPr>
              <w:rFonts w:ascii="Times New Roman" w:hAnsi="Times New Roman" w:cs="Times New Roman"/>
              <w:sz w:val="28"/>
              <w:szCs w:val="28"/>
            </w:rPr>
            <w:fldChar w:fldCharType="separate"/>
          </w:r>
          <w:r>
            <w:rPr>
              <w:rFonts w:ascii="Times New Roman" w:hAnsi="Times New Roman" w:cs="Times New Roman"/>
              <w:sz w:val="28"/>
              <w:szCs w:val="28"/>
            </w:rPr>
            <w:t>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43870082">
          <w:pPr>
            <w:pStyle w:val="17"/>
            <w:tabs>
              <w:tab w:val="right" w:leader="dot" w:pos="10456"/>
            </w:tabs>
            <w:jc w:val="both"/>
            <w:rPr>
              <w:rFonts w:ascii="Times New Roman" w:hAnsi="Times New Roman" w:cs="Times New Roman"/>
              <w:sz w:val="28"/>
              <w:szCs w:val="28"/>
            </w:rPr>
          </w:pPr>
          <w:r>
            <w:fldChar w:fldCharType="begin"/>
          </w:r>
          <w:r>
            <w:instrText xml:space="preserve"> HYPERLINK \l "_Toc167999794" </w:instrText>
          </w:r>
          <w:r>
            <w:fldChar w:fldCharType="separate"/>
          </w:r>
          <w:r>
            <w:rPr>
              <w:rStyle w:val="7"/>
              <w:rFonts w:ascii="Times New Roman" w:hAnsi="Times New Roman" w:cs="Times New Roman"/>
              <w:sz w:val="28"/>
              <w:szCs w:val="28"/>
            </w:rPr>
            <w:t>2.2 Особенности электрохимического осаждения  Ni и Cr из растворов</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_Toc167999794 \h </w:instrText>
          </w:r>
          <w:r>
            <w:rPr>
              <w:rFonts w:ascii="Times New Roman" w:hAnsi="Times New Roman" w:cs="Times New Roman"/>
              <w:sz w:val="28"/>
              <w:szCs w:val="28"/>
            </w:rPr>
            <w:fldChar w:fldCharType="separate"/>
          </w:r>
          <w:r>
            <w:rPr>
              <w:rFonts w:ascii="Times New Roman" w:hAnsi="Times New Roman" w:cs="Times New Roman"/>
              <w:sz w:val="28"/>
              <w:szCs w:val="28"/>
            </w:rPr>
            <w:t>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5D790EA9">
          <w:pPr>
            <w:pStyle w:val="17"/>
            <w:tabs>
              <w:tab w:val="right" w:leader="dot" w:pos="10456"/>
            </w:tabs>
            <w:jc w:val="both"/>
            <w:rPr>
              <w:rFonts w:ascii="Times New Roman" w:hAnsi="Times New Roman" w:cs="Times New Roman"/>
              <w:sz w:val="28"/>
              <w:szCs w:val="28"/>
            </w:rPr>
          </w:pPr>
          <w:r>
            <w:fldChar w:fldCharType="begin"/>
          </w:r>
          <w:r>
            <w:instrText xml:space="preserve"> HYPERLINK \l "_Toc167999795" </w:instrText>
          </w:r>
          <w:r>
            <w:fldChar w:fldCharType="separate"/>
          </w:r>
          <w:r>
            <w:rPr>
              <w:rStyle w:val="7"/>
              <w:rFonts w:ascii="Times New Roman" w:hAnsi="Times New Roman" w:cs="Times New Roman"/>
              <w:sz w:val="28"/>
              <w:szCs w:val="28"/>
            </w:rPr>
            <w:t>2.4 Локальный рентгеноспектральный анализ</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_Toc167999795 \h </w:instrText>
          </w:r>
          <w:r>
            <w:rPr>
              <w:rFonts w:ascii="Times New Roman" w:hAnsi="Times New Roman" w:cs="Times New Roman"/>
              <w:sz w:val="28"/>
              <w:szCs w:val="28"/>
            </w:rPr>
            <w:fldChar w:fldCharType="separate"/>
          </w:r>
          <w:r>
            <w:rPr>
              <w:rFonts w:ascii="Times New Roman" w:hAnsi="Times New Roman" w:cs="Times New Roman"/>
              <w:sz w:val="28"/>
              <w:szCs w:val="28"/>
            </w:rPr>
            <w:t>11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259B3F69">
          <w:pPr>
            <w:pStyle w:val="16"/>
            <w:tabs>
              <w:tab w:val="right" w:leader="dot" w:pos="10456"/>
            </w:tabs>
            <w:jc w:val="both"/>
            <w:rPr>
              <w:rFonts w:ascii="Times New Roman" w:hAnsi="Times New Roman" w:cs="Times New Roman"/>
              <w:sz w:val="28"/>
              <w:szCs w:val="28"/>
            </w:rPr>
          </w:pPr>
          <w:r>
            <w:fldChar w:fldCharType="begin"/>
          </w:r>
          <w:r>
            <w:instrText xml:space="preserve"> HYPERLINK \l "_Toc167999796" </w:instrText>
          </w:r>
          <w:r>
            <w:fldChar w:fldCharType="separate"/>
          </w:r>
          <w:r>
            <w:rPr>
              <w:rStyle w:val="7"/>
              <w:rFonts w:ascii="Times New Roman" w:hAnsi="Times New Roman" w:cs="Times New Roman"/>
              <w:sz w:val="28"/>
              <w:szCs w:val="28"/>
            </w:rPr>
            <w:t>2.4.1 Метод ЛРСА (</w:t>
          </w:r>
          <w:r>
            <w:rPr>
              <w:rStyle w:val="7"/>
              <w:rFonts w:ascii="Times New Roman" w:hAnsi="Times New Roman" w:cs="Times New Roman"/>
              <w:sz w:val="28"/>
              <w:szCs w:val="28"/>
              <w:lang w:val="en-US"/>
            </w:rPr>
            <w:t>EDX</w:t>
          </w:r>
          <w:r>
            <w:rPr>
              <w:rStyle w:val="7"/>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_Toc167999796 \h </w:instrText>
          </w:r>
          <w:r>
            <w:rPr>
              <w:rFonts w:ascii="Times New Roman" w:hAnsi="Times New Roman" w:cs="Times New Roman"/>
              <w:sz w:val="28"/>
              <w:szCs w:val="28"/>
            </w:rPr>
            <w:fldChar w:fldCharType="separate"/>
          </w:r>
          <w:r>
            <w:rPr>
              <w:rFonts w:ascii="Times New Roman" w:hAnsi="Times New Roman" w:cs="Times New Roman"/>
              <w:sz w:val="28"/>
              <w:szCs w:val="28"/>
            </w:rPr>
            <w:t>11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5CE829AB">
          <w:pPr>
            <w:pStyle w:val="16"/>
            <w:tabs>
              <w:tab w:val="right" w:leader="dot" w:pos="10456"/>
            </w:tabs>
            <w:jc w:val="both"/>
            <w:rPr>
              <w:rFonts w:ascii="Times New Roman" w:hAnsi="Times New Roman" w:cs="Times New Roman"/>
              <w:sz w:val="28"/>
              <w:szCs w:val="28"/>
            </w:rPr>
          </w:pPr>
          <w:r>
            <w:fldChar w:fldCharType="begin"/>
          </w:r>
          <w:r>
            <w:instrText xml:space="preserve"> HYPERLINK \l "_Toc167999797" </w:instrText>
          </w:r>
          <w:r>
            <w:fldChar w:fldCharType="separate"/>
          </w:r>
          <w:r>
            <w:rPr>
              <w:rStyle w:val="7"/>
              <w:rFonts w:ascii="Times New Roman" w:hAnsi="Times New Roman" w:cs="Times New Roman"/>
              <w:sz w:val="28"/>
              <w:szCs w:val="28"/>
            </w:rPr>
            <w:t>2.4.2.Формирование электронного зонда.</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_Toc167999797 \h </w:instrText>
          </w:r>
          <w:r>
            <w:rPr>
              <w:rFonts w:ascii="Times New Roman" w:hAnsi="Times New Roman" w:cs="Times New Roman"/>
              <w:sz w:val="28"/>
              <w:szCs w:val="28"/>
            </w:rPr>
            <w:fldChar w:fldCharType="separate"/>
          </w:r>
          <w:r>
            <w:rPr>
              <w:rFonts w:ascii="Times New Roman" w:hAnsi="Times New Roman" w:cs="Times New Roman"/>
              <w:sz w:val="28"/>
              <w:szCs w:val="28"/>
            </w:rPr>
            <w:t>12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57105997">
          <w:pPr>
            <w:pStyle w:val="16"/>
            <w:tabs>
              <w:tab w:val="right" w:leader="dot" w:pos="10456"/>
            </w:tabs>
            <w:jc w:val="both"/>
            <w:rPr>
              <w:rFonts w:ascii="Times New Roman" w:hAnsi="Times New Roman" w:cs="Times New Roman"/>
              <w:sz w:val="28"/>
              <w:szCs w:val="28"/>
            </w:rPr>
          </w:pPr>
          <w:r>
            <w:fldChar w:fldCharType="begin"/>
          </w:r>
          <w:r>
            <w:instrText xml:space="preserve"> HYPERLINK \l "_Toc167999798" </w:instrText>
          </w:r>
          <w:r>
            <w:fldChar w:fldCharType="separate"/>
          </w:r>
          <w:r>
            <w:rPr>
              <w:rStyle w:val="7"/>
              <w:rFonts w:ascii="Times New Roman" w:hAnsi="Times New Roman" w:cs="Times New Roman"/>
              <w:sz w:val="28"/>
              <w:szCs w:val="28"/>
            </w:rPr>
            <w:t>2.4.3 Основные этапы работы ЛРСА</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_Toc167999798 \h </w:instrText>
          </w:r>
          <w:r>
            <w:rPr>
              <w:rFonts w:ascii="Times New Roman" w:hAnsi="Times New Roman" w:cs="Times New Roman"/>
              <w:sz w:val="28"/>
              <w:szCs w:val="28"/>
            </w:rPr>
            <w:fldChar w:fldCharType="separate"/>
          </w:r>
          <w:r>
            <w:rPr>
              <w:rFonts w:ascii="Times New Roman" w:hAnsi="Times New Roman" w:cs="Times New Roman"/>
              <w:sz w:val="28"/>
              <w:szCs w:val="28"/>
            </w:rPr>
            <w:t>13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440FC03C">
          <w:pPr>
            <w:pStyle w:val="16"/>
            <w:tabs>
              <w:tab w:val="right" w:leader="dot" w:pos="10456"/>
            </w:tabs>
            <w:jc w:val="both"/>
            <w:rPr>
              <w:rFonts w:ascii="Times New Roman" w:hAnsi="Times New Roman" w:cs="Times New Roman"/>
              <w:sz w:val="28"/>
              <w:szCs w:val="28"/>
            </w:rPr>
          </w:pPr>
          <w:r>
            <w:fldChar w:fldCharType="begin"/>
          </w:r>
          <w:r>
            <w:instrText xml:space="preserve"> HYPERLINK \l "_Toc167999799" </w:instrText>
          </w:r>
          <w:r>
            <w:fldChar w:fldCharType="separate"/>
          </w:r>
          <w:r>
            <w:rPr>
              <w:rStyle w:val="7"/>
              <w:rFonts w:ascii="Times New Roman" w:hAnsi="Times New Roman" w:cs="Times New Roman"/>
              <w:sz w:val="28"/>
              <w:szCs w:val="28"/>
            </w:rPr>
            <w:t>2.4.4 Определение интенсивностей пика и фона</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_Toc167999799 \h </w:instrText>
          </w:r>
          <w:r>
            <w:rPr>
              <w:rFonts w:ascii="Times New Roman" w:hAnsi="Times New Roman" w:cs="Times New Roman"/>
              <w:sz w:val="28"/>
              <w:szCs w:val="28"/>
            </w:rPr>
            <w:fldChar w:fldCharType="separate"/>
          </w:r>
          <w:r>
            <w:rPr>
              <w:rFonts w:ascii="Times New Roman" w:hAnsi="Times New Roman" w:cs="Times New Roman"/>
              <w:sz w:val="28"/>
              <w:szCs w:val="28"/>
            </w:rPr>
            <w:t>14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4E265880">
          <w:pPr>
            <w:pStyle w:val="16"/>
            <w:tabs>
              <w:tab w:val="right" w:leader="dot" w:pos="10456"/>
            </w:tabs>
            <w:jc w:val="both"/>
            <w:rPr>
              <w:rFonts w:ascii="Times New Roman" w:hAnsi="Times New Roman" w:cs="Times New Roman"/>
              <w:sz w:val="28"/>
              <w:szCs w:val="28"/>
            </w:rPr>
          </w:pPr>
          <w:r>
            <w:fldChar w:fldCharType="begin"/>
          </w:r>
          <w:r>
            <w:instrText xml:space="preserve"> HYPERLINK \l "_Toc167999800" </w:instrText>
          </w:r>
          <w:r>
            <w:fldChar w:fldCharType="separate"/>
          </w:r>
          <w:r>
            <w:rPr>
              <w:rStyle w:val="7"/>
              <w:rFonts w:ascii="Times New Roman" w:hAnsi="Times New Roman" w:cs="Times New Roman"/>
              <w:sz w:val="28"/>
              <w:szCs w:val="28"/>
            </w:rPr>
            <w:t>2.4.5 Матричные поправки</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_Toc167999800 \h </w:instrText>
          </w:r>
          <w:r>
            <w:rPr>
              <w:rFonts w:ascii="Times New Roman" w:hAnsi="Times New Roman" w:cs="Times New Roman"/>
              <w:sz w:val="28"/>
              <w:szCs w:val="28"/>
            </w:rPr>
            <w:fldChar w:fldCharType="separate"/>
          </w:r>
          <w:r>
            <w:rPr>
              <w:rFonts w:ascii="Times New Roman" w:hAnsi="Times New Roman" w:cs="Times New Roman"/>
              <w:sz w:val="28"/>
              <w:szCs w:val="28"/>
            </w:rPr>
            <w:t>15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74219CB9">
          <w:pPr>
            <w:pStyle w:val="16"/>
            <w:tabs>
              <w:tab w:val="right" w:leader="dot" w:pos="10456"/>
            </w:tabs>
            <w:jc w:val="both"/>
            <w:rPr>
              <w:rFonts w:ascii="Times New Roman" w:hAnsi="Times New Roman" w:cs="Times New Roman"/>
              <w:sz w:val="28"/>
              <w:szCs w:val="28"/>
            </w:rPr>
          </w:pPr>
          <w:r>
            <w:fldChar w:fldCharType="begin"/>
          </w:r>
          <w:r>
            <w:instrText xml:space="preserve"> HYPERLINK \l "_Toc167999801" </w:instrText>
          </w:r>
          <w:r>
            <w:fldChar w:fldCharType="separate"/>
          </w:r>
          <w:r>
            <w:rPr>
              <w:rStyle w:val="7"/>
              <w:rFonts w:ascii="Times New Roman" w:hAnsi="Times New Roman" w:cs="Times New Roman"/>
              <w:sz w:val="28"/>
              <w:szCs w:val="28"/>
            </w:rPr>
            <w:t>2.4.7 Эффекты, влияющие на точность количественного анализа</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_Toc167999801 \h </w:instrText>
          </w:r>
          <w:r>
            <w:rPr>
              <w:rFonts w:ascii="Times New Roman" w:hAnsi="Times New Roman" w:cs="Times New Roman"/>
              <w:sz w:val="28"/>
              <w:szCs w:val="28"/>
            </w:rPr>
            <w:fldChar w:fldCharType="separate"/>
          </w:r>
          <w:r>
            <w:rPr>
              <w:rFonts w:ascii="Times New Roman" w:hAnsi="Times New Roman" w:cs="Times New Roman"/>
              <w:sz w:val="28"/>
              <w:szCs w:val="28"/>
            </w:rPr>
            <w:t>17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7093A65D">
          <w:pPr>
            <w:pStyle w:val="15"/>
            <w:tabs>
              <w:tab w:val="left" w:pos="440"/>
              <w:tab w:val="right" w:leader="dot" w:pos="10456"/>
            </w:tabs>
            <w:jc w:val="both"/>
            <w:rPr>
              <w:rFonts w:ascii="Times New Roman" w:hAnsi="Times New Roman" w:cs="Times New Roman" w:eastAsiaTheme="minorEastAsia"/>
              <w:sz w:val="28"/>
              <w:szCs w:val="28"/>
              <w:lang w:eastAsia="ru-RU"/>
            </w:rPr>
          </w:pPr>
          <w:r>
            <w:fldChar w:fldCharType="begin"/>
          </w:r>
          <w:r>
            <w:instrText xml:space="preserve"> HYPERLINK \l "_Toc167999802" </w:instrText>
          </w:r>
          <w:r>
            <w:fldChar w:fldCharType="separate"/>
          </w:r>
          <w:r>
            <w:rPr>
              <w:rStyle w:val="7"/>
              <w:rFonts w:ascii="Times New Roman" w:hAnsi="Times New Roman" w:eastAsia="Calibri" w:cs="Times New Roman"/>
              <w:sz w:val="28"/>
              <w:szCs w:val="28"/>
            </w:rPr>
            <w:t>3.</w:t>
          </w:r>
          <w:r>
            <w:rPr>
              <w:rFonts w:ascii="Times New Roman" w:hAnsi="Times New Roman" w:cs="Times New Roman" w:eastAsiaTheme="minorEastAsia"/>
              <w:sz w:val="28"/>
              <w:szCs w:val="28"/>
              <w:lang w:eastAsia="ru-RU"/>
            </w:rPr>
            <w:tab/>
          </w:r>
          <w:r>
            <w:rPr>
              <w:rStyle w:val="7"/>
              <w:rFonts w:ascii="Times New Roman" w:hAnsi="Times New Roman" w:eastAsia="Calibri" w:cs="Times New Roman"/>
              <w:sz w:val="28"/>
              <w:szCs w:val="28"/>
            </w:rPr>
            <w:t>Экспериментальная часть</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_Toc167999802 \h </w:instrText>
          </w:r>
          <w:r>
            <w:rPr>
              <w:rFonts w:ascii="Times New Roman" w:hAnsi="Times New Roman" w:cs="Times New Roman"/>
              <w:sz w:val="28"/>
              <w:szCs w:val="28"/>
            </w:rPr>
            <w:fldChar w:fldCharType="separate"/>
          </w:r>
          <w:r>
            <w:rPr>
              <w:rFonts w:ascii="Times New Roman" w:hAnsi="Times New Roman" w:cs="Times New Roman"/>
              <w:sz w:val="28"/>
              <w:szCs w:val="28"/>
            </w:rPr>
            <w:t>20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57A880CA">
          <w:pPr>
            <w:pStyle w:val="17"/>
            <w:tabs>
              <w:tab w:val="right" w:leader="dot" w:pos="10456"/>
            </w:tabs>
            <w:jc w:val="both"/>
            <w:rPr>
              <w:rFonts w:ascii="Times New Roman" w:hAnsi="Times New Roman" w:cs="Times New Roman"/>
              <w:sz w:val="28"/>
              <w:szCs w:val="28"/>
            </w:rPr>
          </w:pPr>
          <w:r>
            <w:fldChar w:fldCharType="begin"/>
          </w:r>
          <w:r>
            <w:instrText xml:space="preserve"> HYPERLINK \l "_Toc167999803" </w:instrText>
          </w:r>
          <w:r>
            <w:fldChar w:fldCharType="separate"/>
          </w:r>
          <w:r>
            <w:rPr>
              <w:rStyle w:val="7"/>
              <w:rFonts w:ascii="Times New Roman" w:hAnsi="Times New Roman" w:cs="Times New Roman"/>
              <w:sz w:val="28"/>
              <w:szCs w:val="28"/>
            </w:rPr>
            <w:t>3.1. Электрохимическое осаждение</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_Toc167999803 \h </w:instrText>
          </w:r>
          <w:r>
            <w:rPr>
              <w:rFonts w:ascii="Times New Roman" w:hAnsi="Times New Roman" w:cs="Times New Roman"/>
              <w:sz w:val="28"/>
              <w:szCs w:val="28"/>
            </w:rPr>
            <w:fldChar w:fldCharType="separate"/>
          </w:r>
          <w:r>
            <w:rPr>
              <w:rFonts w:ascii="Times New Roman" w:hAnsi="Times New Roman" w:cs="Times New Roman"/>
              <w:sz w:val="28"/>
              <w:szCs w:val="28"/>
            </w:rPr>
            <w:t>20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7AF4BFDE">
          <w:pPr>
            <w:pStyle w:val="17"/>
            <w:tabs>
              <w:tab w:val="right" w:leader="dot" w:pos="10456"/>
            </w:tabs>
            <w:jc w:val="both"/>
            <w:rPr>
              <w:rFonts w:ascii="Times New Roman" w:hAnsi="Times New Roman" w:cs="Times New Roman"/>
              <w:sz w:val="28"/>
              <w:szCs w:val="28"/>
            </w:rPr>
          </w:pPr>
          <w:r>
            <w:fldChar w:fldCharType="begin"/>
          </w:r>
          <w:r>
            <w:instrText xml:space="preserve"> HYPERLINK \l "_Toc167999804" </w:instrText>
          </w:r>
          <w:r>
            <w:fldChar w:fldCharType="separate"/>
          </w:r>
          <w:r>
            <w:rPr>
              <w:rStyle w:val="7"/>
              <w:rFonts w:ascii="Times New Roman" w:hAnsi="Times New Roman" w:cs="Times New Roman"/>
              <w:sz w:val="28"/>
              <w:szCs w:val="28"/>
            </w:rPr>
            <w:t>3.2 Методы исследования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_Toc167999804 \h </w:instrText>
          </w:r>
          <w:r>
            <w:rPr>
              <w:rFonts w:ascii="Times New Roman" w:hAnsi="Times New Roman" w:cs="Times New Roman"/>
              <w:sz w:val="28"/>
              <w:szCs w:val="28"/>
            </w:rPr>
            <w:fldChar w:fldCharType="separate"/>
          </w:r>
          <w:r>
            <w:rPr>
              <w:rFonts w:ascii="Times New Roman" w:hAnsi="Times New Roman" w:cs="Times New Roman"/>
              <w:sz w:val="28"/>
              <w:szCs w:val="28"/>
            </w:rPr>
            <w:t>21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066BDEA7">
          <w:pPr>
            <w:pStyle w:val="16"/>
            <w:tabs>
              <w:tab w:val="right" w:leader="dot" w:pos="10456"/>
            </w:tabs>
            <w:jc w:val="both"/>
            <w:rPr>
              <w:rFonts w:ascii="Times New Roman" w:hAnsi="Times New Roman" w:cs="Times New Roman"/>
              <w:sz w:val="28"/>
              <w:szCs w:val="28"/>
            </w:rPr>
          </w:pPr>
          <w:r>
            <w:fldChar w:fldCharType="begin"/>
          </w:r>
          <w:r>
            <w:instrText xml:space="preserve"> HYPERLINK \l "_Toc167999805" </w:instrText>
          </w:r>
          <w:r>
            <w:fldChar w:fldCharType="separate"/>
          </w:r>
          <w:r>
            <w:rPr>
              <w:rStyle w:val="7"/>
              <w:rFonts w:ascii="Times New Roman" w:hAnsi="Times New Roman" w:cs="Times New Roman"/>
              <w:sz w:val="28"/>
              <w:szCs w:val="28"/>
            </w:rPr>
            <w:t>Локальный рентгеноспектральный анализ (ЛРСА)</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_Toc167999805 \h </w:instrText>
          </w:r>
          <w:r>
            <w:rPr>
              <w:rFonts w:ascii="Times New Roman" w:hAnsi="Times New Roman" w:cs="Times New Roman"/>
              <w:sz w:val="28"/>
              <w:szCs w:val="28"/>
            </w:rPr>
            <w:fldChar w:fldCharType="separate"/>
          </w:r>
          <w:r>
            <w:rPr>
              <w:rFonts w:ascii="Times New Roman" w:hAnsi="Times New Roman" w:cs="Times New Roman"/>
              <w:sz w:val="28"/>
              <w:szCs w:val="28"/>
            </w:rPr>
            <w:t>21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14F09C23">
          <w:pPr>
            <w:pStyle w:val="17"/>
            <w:tabs>
              <w:tab w:val="right" w:leader="dot" w:pos="10456"/>
            </w:tabs>
            <w:jc w:val="both"/>
            <w:rPr>
              <w:rFonts w:ascii="Times New Roman" w:hAnsi="Times New Roman" w:cs="Times New Roman"/>
              <w:sz w:val="28"/>
              <w:szCs w:val="28"/>
            </w:rPr>
          </w:pPr>
          <w:r>
            <w:fldChar w:fldCharType="begin"/>
          </w:r>
          <w:r>
            <w:instrText xml:space="preserve"> HYPERLINK \l "_Toc167999806" </w:instrText>
          </w:r>
          <w:r>
            <w:fldChar w:fldCharType="separate"/>
          </w:r>
          <w:r>
            <w:rPr>
              <w:rStyle w:val="7"/>
              <w:rFonts w:ascii="Times New Roman" w:hAnsi="Times New Roman" w:cs="Times New Roman"/>
              <w:sz w:val="28"/>
              <w:szCs w:val="28"/>
            </w:rPr>
            <w:t>3.3 Синтез ренийсодержащих кобальтовых сплавов</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_Toc167999806 \h </w:instrText>
          </w:r>
          <w:r>
            <w:rPr>
              <w:rFonts w:ascii="Times New Roman" w:hAnsi="Times New Roman" w:cs="Times New Roman"/>
              <w:sz w:val="28"/>
              <w:szCs w:val="28"/>
            </w:rPr>
            <w:fldChar w:fldCharType="separate"/>
          </w:r>
          <w:r>
            <w:rPr>
              <w:rFonts w:ascii="Times New Roman" w:hAnsi="Times New Roman" w:cs="Times New Roman"/>
              <w:sz w:val="28"/>
              <w:szCs w:val="28"/>
            </w:rPr>
            <w:t>21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2B679A7F">
          <w:pPr>
            <w:pStyle w:val="15"/>
            <w:tabs>
              <w:tab w:val="left" w:pos="440"/>
              <w:tab w:val="right" w:leader="dot" w:pos="10456"/>
            </w:tabs>
            <w:jc w:val="both"/>
            <w:rPr>
              <w:rFonts w:ascii="Times New Roman" w:hAnsi="Times New Roman" w:cs="Times New Roman" w:eastAsiaTheme="minorEastAsia"/>
              <w:sz w:val="28"/>
              <w:szCs w:val="28"/>
              <w:lang w:eastAsia="ru-RU"/>
            </w:rPr>
          </w:pPr>
          <w:r>
            <w:fldChar w:fldCharType="begin"/>
          </w:r>
          <w:r>
            <w:instrText xml:space="preserve"> HYPERLINK \l "_Toc167999807" </w:instrText>
          </w:r>
          <w:r>
            <w:fldChar w:fldCharType="separate"/>
          </w:r>
          <w:r>
            <w:rPr>
              <w:rStyle w:val="7"/>
              <w:rFonts w:ascii="Times New Roman" w:hAnsi="Times New Roman" w:cs="Times New Roman"/>
              <w:sz w:val="28"/>
              <w:szCs w:val="28"/>
            </w:rPr>
            <w:t>4.</w:t>
          </w:r>
          <w:r>
            <w:rPr>
              <w:rFonts w:ascii="Times New Roman" w:hAnsi="Times New Roman" w:cs="Times New Roman" w:eastAsiaTheme="minorEastAsia"/>
              <w:sz w:val="28"/>
              <w:szCs w:val="28"/>
              <w:lang w:eastAsia="ru-RU"/>
            </w:rPr>
            <w:tab/>
          </w:r>
          <w:r>
            <w:rPr>
              <w:rStyle w:val="7"/>
              <w:rFonts w:ascii="Times New Roman" w:hAnsi="Times New Roman" w:cs="Times New Roman"/>
              <w:sz w:val="28"/>
              <w:szCs w:val="28"/>
            </w:rPr>
            <w:t>Результаты и обсуждение</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_Toc167999807 \h </w:instrText>
          </w:r>
          <w:r>
            <w:rPr>
              <w:rFonts w:ascii="Times New Roman" w:hAnsi="Times New Roman" w:cs="Times New Roman"/>
              <w:sz w:val="28"/>
              <w:szCs w:val="28"/>
            </w:rPr>
            <w:fldChar w:fldCharType="separate"/>
          </w:r>
          <w:r>
            <w:rPr>
              <w:rFonts w:ascii="Times New Roman" w:hAnsi="Times New Roman" w:cs="Times New Roman"/>
              <w:sz w:val="28"/>
              <w:szCs w:val="28"/>
            </w:rPr>
            <w:t>23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4CB115DC">
          <w:pPr>
            <w:pStyle w:val="17"/>
            <w:tabs>
              <w:tab w:val="right" w:leader="dot" w:pos="10456"/>
            </w:tabs>
            <w:jc w:val="both"/>
            <w:rPr>
              <w:rFonts w:ascii="Times New Roman" w:hAnsi="Times New Roman" w:cs="Times New Roman"/>
              <w:sz w:val="28"/>
              <w:szCs w:val="28"/>
            </w:rPr>
          </w:pPr>
          <w:r>
            <w:fldChar w:fldCharType="begin"/>
          </w:r>
          <w:r>
            <w:instrText xml:space="preserve"> HYPERLINK \l "_Toc167999808" </w:instrText>
          </w:r>
          <w:r>
            <w:fldChar w:fldCharType="separate"/>
          </w:r>
          <w:r>
            <w:rPr>
              <w:rStyle w:val="7"/>
              <w:rFonts w:ascii="Times New Roman" w:hAnsi="Times New Roman" w:cs="Times New Roman"/>
              <w:sz w:val="28"/>
              <w:szCs w:val="28"/>
            </w:rPr>
            <w:t>4.1 Локальный рентгеноспектральный анализ синтезированных образцов</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_Toc167999808 \h </w:instrText>
          </w:r>
          <w:r>
            <w:rPr>
              <w:rFonts w:ascii="Times New Roman" w:hAnsi="Times New Roman" w:cs="Times New Roman"/>
              <w:sz w:val="28"/>
              <w:szCs w:val="28"/>
            </w:rPr>
            <w:fldChar w:fldCharType="separate"/>
          </w:r>
          <w:r>
            <w:rPr>
              <w:rFonts w:ascii="Times New Roman" w:hAnsi="Times New Roman" w:cs="Times New Roman"/>
              <w:sz w:val="28"/>
              <w:szCs w:val="28"/>
            </w:rPr>
            <w:t>26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32B13AF4">
          <w:pPr>
            <w:pStyle w:val="16"/>
            <w:tabs>
              <w:tab w:val="right" w:leader="dot" w:pos="10456"/>
            </w:tabs>
            <w:jc w:val="both"/>
            <w:rPr>
              <w:rFonts w:ascii="Times New Roman" w:hAnsi="Times New Roman" w:cs="Times New Roman"/>
              <w:sz w:val="28"/>
              <w:szCs w:val="28"/>
            </w:rPr>
          </w:pPr>
          <w:r>
            <w:fldChar w:fldCharType="begin"/>
          </w:r>
          <w:r>
            <w:instrText xml:space="preserve"> HYPERLINK \l "_Toc167999809" </w:instrText>
          </w:r>
          <w:r>
            <w:fldChar w:fldCharType="separate"/>
          </w:r>
          <w:r>
            <w:rPr>
              <w:rStyle w:val="7"/>
              <w:rFonts w:ascii="Times New Roman" w:hAnsi="Times New Roman" w:cs="Times New Roman"/>
              <w:sz w:val="28"/>
              <w:szCs w:val="28"/>
            </w:rPr>
            <w:t>4.1.1 Никель на медной подложке</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_Toc167999809 \h </w:instrText>
          </w:r>
          <w:r>
            <w:rPr>
              <w:rFonts w:ascii="Times New Roman" w:hAnsi="Times New Roman" w:cs="Times New Roman"/>
              <w:sz w:val="28"/>
              <w:szCs w:val="28"/>
            </w:rPr>
            <w:fldChar w:fldCharType="separate"/>
          </w:r>
          <w:r>
            <w:rPr>
              <w:rFonts w:ascii="Times New Roman" w:hAnsi="Times New Roman" w:cs="Times New Roman"/>
              <w:sz w:val="28"/>
              <w:szCs w:val="28"/>
            </w:rPr>
            <w:t>26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36AEE813">
          <w:pPr>
            <w:pStyle w:val="16"/>
            <w:tabs>
              <w:tab w:val="right" w:leader="dot" w:pos="10456"/>
            </w:tabs>
            <w:jc w:val="both"/>
            <w:rPr>
              <w:rFonts w:ascii="Times New Roman" w:hAnsi="Times New Roman" w:cs="Times New Roman"/>
              <w:sz w:val="28"/>
              <w:szCs w:val="28"/>
            </w:rPr>
          </w:pPr>
          <w:r>
            <w:fldChar w:fldCharType="begin"/>
          </w:r>
          <w:r>
            <w:instrText xml:space="preserve"> HYPERLINK \l "_Toc167999810" </w:instrText>
          </w:r>
          <w:r>
            <w:fldChar w:fldCharType="separate"/>
          </w:r>
          <w:r>
            <w:rPr>
              <w:rStyle w:val="7"/>
              <w:rFonts w:ascii="Times New Roman" w:hAnsi="Times New Roman" w:cs="Times New Roman"/>
              <w:sz w:val="28"/>
              <w:szCs w:val="28"/>
            </w:rPr>
            <w:t>4.1.2 Осажденный на медную пластинку хром</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_Toc167999810 \h </w:instrText>
          </w:r>
          <w:r>
            <w:rPr>
              <w:rFonts w:ascii="Times New Roman" w:hAnsi="Times New Roman" w:cs="Times New Roman"/>
              <w:sz w:val="28"/>
              <w:szCs w:val="28"/>
            </w:rPr>
            <w:fldChar w:fldCharType="separate"/>
          </w:r>
          <w:r>
            <w:rPr>
              <w:rFonts w:ascii="Times New Roman" w:hAnsi="Times New Roman" w:cs="Times New Roman"/>
              <w:sz w:val="28"/>
              <w:szCs w:val="28"/>
            </w:rPr>
            <w:t>27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5016DE71">
          <w:pPr>
            <w:pStyle w:val="16"/>
            <w:tabs>
              <w:tab w:val="right" w:leader="dot" w:pos="10456"/>
            </w:tabs>
            <w:jc w:val="both"/>
            <w:rPr>
              <w:rFonts w:ascii="Times New Roman" w:hAnsi="Times New Roman" w:cs="Times New Roman"/>
              <w:sz w:val="28"/>
              <w:szCs w:val="28"/>
            </w:rPr>
          </w:pPr>
          <w:r>
            <w:fldChar w:fldCharType="begin"/>
          </w:r>
          <w:r>
            <w:instrText xml:space="preserve"> HYPERLINK \l "_Toc167999811" </w:instrText>
          </w:r>
          <w:r>
            <w:fldChar w:fldCharType="separate"/>
          </w:r>
          <w:r>
            <w:rPr>
              <w:rStyle w:val="7"/>
              <w:rFonts w:ascii="Times New Roman" w:hAnsi="Times New Roman" w:cs="Times New Roman"/>
              <w:sz w:val="28"/>
              <w:szCs w:val="28"/>
            </w:rPr>
            <w:t>4.1.3. Послойно осажденные никель-хром на медную пластину</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_Toc167999811 \h </w:instrText>
          </w:r>
          <w:r>
            <w:rPr>
              <w:rFonts w:ascii="Times New Roman" w:hAnsi="Times New Roman" w:cs="Times New Roman"/>
              <w:sz w:val="28"/>
              <w:szCs w:val="28"/>
            </w:rPr>
            <w:fldChar w:fldCharType="separate"/>
          </w:r>
          <w:r>
            <w:rPr>
              <w:rFonts w:ascii="Times New Roman" w:hAnsi="Times New Roman" w:cs="Times New Roman"/>
              <w:sz w:val="28"/>
              <w:szCs w:val="28"/>
            </w:rPr>
            <w:t>29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2BDBCF94">
          <w:pPr>
            <w:pStyle w:val="15"/>
            <w:tabs>
              <w:tab w:val="left" w:pos="440"/>
              <w:tab w:val="right" w:leader="dot" w:pos="10456"/>
            </w:tabs>
            <w:jc w:val="both"/>
            <w:rPr>
              <w:rFonts w:ascii="Times New Roman" w:hAnsi="Times New Roman" w:cs="Times New Roman" w:eastAsiaTheme="minorEastAsia"/>
              <w:sz w:val="28"/>
              <w:szCs w:val="28"/>
              <w:lang w:eastAsia="ru-RU"/>
            </w:rPr>
          </w:pPr>
          <w:r>
            <w:fldChar w:fldCharType="begin"/>
          </w:r>
          <w:r>
            <w:instrText xml:space="preserve"> HYPERLINK \l "_Toc167999812" </w:instrText>
          </w:r>
          <w:r>
            <w:fldChar w:fldCharType="separate"/>
          </w:r>
          <w:r>
            <w:rPr>
              <w:rStyle w:val="7"/>
              <w:rFonts w:ascii="Times New Roman" w:hAnsi="Times New Roman" w:cs="Times New Roman"/>
              <w:sz w:val="28"/>
              <w:szCs w:val="28"/>
            </w:rPr>
            <w:t>5.</w:t>
          </w:r>
          <w:r>
            <w:rPr>
              <w:rFonts w:ascii="Times New Roman" w:hAnsi="Times New Roman" w:cs="Times New Roman" w:eastAsiaTheme="minorEastAsia"/>
              <w:sz w:val="28"/>
              <w:szCs w:val="28"/>
              <w:lang w:eastAsia="ru-RU"/>
            </w:rPr>
            <w:tab/>
          </w:r>
          <w:r>
            <w:rPr>
              <w:rStyle w:val="7"/>
              <w:rFonts w:ascii="Times New Roman" w:hAnsi="Times New Roman" w:cs="Times New Roman"/>
              <w:sz w:val="28"/>
              <w:szCs w:val="28"/>
            </w:rPr>
            <w:t>Выводы</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_Toc167999812 \h </w:instrText>
          </w:r>
          <w:r>
            <w:rPr>
              <w:rFonts w:ascii="Times New Roman" w:hAnsi="Times New Roman" w:cs="Times New Roman"/>
              <w:sz w:val="28"/>
              <w:szCs w:val="28"/>
            </w:rPr>
            <w:fldChar w:fldCharType="separate"/>
          </w:r>
          <w:r>
            <w:rPr>
              <w:rFonts w:ascii="Times New Roman" w:hAnsi="Times New Roman" w:cs="Times New Roman"/>
              <w:sz w:val="28"/>
              <w:szCs w:val="28"/>
            </w:rPr>
            <w:t>32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3B51889B">
          <w:pPr>
            <w:pStyle w:val="15"/>
            <w:tabs>
              <w:tab w:val="right" w:leader="dot" w:pos="10456"/>
            </w:tabs>
            <w:jc w:val="both"/>
            <w:rPr>
              <w:rFonts w:eastAsiaTheme="minorEastAsia"/>
              <w:lang w:eastAsia="ru-RU"/>
            </w:rPr>
          </w:pPr>
          <w:r>
            <w:fldChar w:fldCharType="begin"/>
          </w:r>
          <w:r>
            <w:instrText xml:space="preserve"> HYPERLINK \l "_Toc167999813" </w:instrText>
          </w:r>
          <w:r>
            <w:fldChar w:fldCharType="separate"/>
          </w:r>
          <w:r>
            <w:rPr>
              <w:rStyle w:val="7"/>
              <w:rFonts w:ascii="Times New Roman" w:hAnsi="Times New Roman" w:cs="Times New Roman"/>
              <w:sz w:val="28"/>
              <w:szCs w:val="28"/>
            </w:rPr>
            <w:t>Список</w:t>
          </w:r>
          <w:r>
            <w:rPr>
              <w:rStyle w:val="7"/>
              <w:rFonts w:ascii="Times New Roman" w:hAnsi="Times New Roman" w:cs="Times New Roman"/>
              <w:sz w:val="28"/>
              <w:szCs w:val="28"/>
              <w:lang w:val="en-US"/>
            </w:rPr>
            <w:t xml:space="preserve"> </w:t>
          </w:r>
          <w:r>
            <w:rPr>
              <w:rStyle w:val="7"/>
              <w:rFonts w:ascii="Times New Roman" w:hAnsi="Times New Roman" w:cs="Times New Roman"/>
              <w:sz w:val="28"/>
              <w:szCs w:val="28"/>
            </w:rPr>
            <w:t>литературы</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_Toc167999813 \h </w:instrText>
          </w:r>
          <w:r>
            <w:rPr>
              <w:rFonts w:ascii="Times New Roman" w:hAnsi="Times New Roman" w:cs="Times New Roman"/>
              <w:sz w:val="28"/>
              <w:szCs w:val="28"/>
            </w:rPr>
            <w:fldChar w:fldCharType="separate"/>
          </w:r>
          <w:r>
            <w:rPr>
              <w:rFonts w:ascii="Times New Roman" w:hAnsi="Times New Roman" w:cs="Times New Roman"/>
              <w:sz w:val="28"/>
              <w:szCs w:val="28"/>
            </w:rPr>
            <w:t>33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3D43B57A">
          <w:pPr>
            <w:jc w:val="both"/>
            <w:rPr>
              <w:sz w:val="28"/>
              <w:szCs w:val="28"/>
            </w:rPr>
          </w:pPr>
          <w:r>
            <w:rPr>
              <w:sz w:val="28"/>
              <w:szCs w:val="28"/>
            </w:rPr>
            <w:fldChar w:fldCharType="end"/>
          </w:r>
        </w:p>
      </w:sdtContent>
    </w:sdt>
    <w:p w14:paraId="4F57CAB8">
      <w:pPr>
        <w:rPr>
          <w:rStyle w:val="8"/>
        </w:rPr>
      </w:pPr>
    </w:p>
    <w:p w14:paraId="7DF354EA">
      <w:pPr>
        <w:rPr>
          <w:rStyle w:val="8"/>
        </w:rPr>
      </w:pPr>
      <w:r>
        <w:br w:type="page"/>
      </w:r>
    </w:p>
    <w:p w14:paraId="09CE1606">
      <w:pPr>
        <w:pStyle w:val="2"/>
        <w:numPr>
          <w:ilvl w:val="0"/>
          <w:numId w:val="1"/>
        </w:numPr>
        <w:tabs>
          <w:tab w:val="left" w:pos="-396"/>
          <w:tab w:val="clear" w:pos="0"/>
        </w:tabs>
        <w:spacing w:before="0"/>
        <w:rPr>
          <w:rStyle w:val="8"/>
          <w:rFonts w:cs="Times New Roman"/>
          <w:b/>
          <w:bCs/>
        </w:rPr>
      </w:pPr>
      <w:bookmarkStart w:id="0" w:name="_Toc167999791"/>
      <w:r>
        <w:rPr>
          <w:rStyle w:val="8"/>
          <w:rFonts w:cs="Times New Roman"/>
          <w:b/>
          <w:bCs/>
        </w:rPr>
        <w:t>Введение</w:t>
      </w:r>
      <w:bookmarkEnd w:id="0"/>
    </w:p>
    <w:p w14:paraId="2AC13896">
      <w:pPr>
        <w:spacing w:before="120" w:line="360" w:lineRule="auto"/>
        <w:ind w:firstLine="709"/>
        <w:jc w:val="both"/>
        <w:rPr>
          <w:rStyle w:val="8"/>
          <w:b w:val="0"/>
          <w:sz w:val="28"/>
          <w:szCs w:val="28"/>
        </w:rPr>
      </w:pPr>
      <w:r>
        <w:rPr>
          <w:rStyle w:val="8"/>
          <w:b w:val="0"/>
          <w:sz w:val="28"/>
          <w:szCs w:val="28"/>
        </w:rPr>
        <w:t>Электроосаждение является одним из ведущих методов синтезирования тонких плёнок металлов и их сплавов благодаря своей эффективности и универсальности [1]. Технология электроосаждения широко используется в различных отраслях промышленности благодаря своей экономичности, масштабируемости и универсальности. Это также один из наиболее перспективных методов получения покрытий из сплавов более высокого качества, поскольку он позволяет в высокой степени контролировать как химический состав, так и толщину покрытий из электронаплавленных сплавов [2].</w:t>
      </w:r>
    </w:p>
    <w:p w14:paraId="0D75AF59">
      <w:pPr>
        <w:spacing w:before="120" w:line="360" w:lineRule="auto"/>
        <w:ind w:firstLine="709"/>
        <w:jc w:val="both"/>
        <w:rPr>
          <w:rStyle w:val="8"/>
          <w:b w:val="0"/>
          <w:sz w:val="28"/>
          <w:szCs w:val="28"/>
        </w:rPr>
      </w:pPr>
      <w:r>
        <w:rPr>
          <w:rStyle w:val="8"/>
          <w:b w:val="0"/>
          <w:sz w:val="28"/>
          <w:szCs w:val="28"/>
        </w:rPr>
        <w:t xml:space="preserve"> Данным методом могут быть получены пленки, имеющие широкое применение в металлообработке. Возможность регулировать плотность тока, а также время осаждения, позволяют добиться покрытий с равномерным распределением материала, особыми микро- и нанометровыми характеристиками [3]. </w:t>
      </w:r>
    </w:p>
    <w:p w14:paraId="152E4DE3">
      <w:pPr>
        <w:spacing w:line="360" w:lineRule="auto"/>
        <w:ind w:firstLine="709"/>
        <w:jc w:val="both"/>
        <w:rPr>
          <w:rStyle w:val="8"/>
          <w:b w:val="0"/>
          <w:color w:val="FF0000"/>
          <w:sz w:val="28"/>
          <w:szCs w:val="28"/>
        </w:rPr>
      </w:pPr>
      <w:r>
        <w:rPr>
          <w:rStyle w:val="8"/>
          <w:b w:val="0"/>
          <w:sz w:val="28"/>
          <w:szCs w:val="28"/>
        </w:rPr>
        <w:t xml:space="preserve">Исследования в области синтеза поверхностных покрытий никель-хром играют важную роль в разработке защитных покрытий от коррозии. Из литературы известно [4-6], что свойства хромоникелевых сплавов сильно отличаются от свойств чистых металлов (хрома и никеля), в частности соединения на основе никель-хромовых сплавов не являются токсичными и могут применяться в медицине. Изучение свойств электроосажденных сплавов системы </w:t>
      </w:r>
      <w:r>
        <w:rPr>
          <w:rStyle w:val="8"/>
          <w:b w:val="0"/>
          <w:sz w:val="28"/>
          <w:szCs w:val="28"/>
          <w:lang w:val="en-US"/>
        </w:rPr>
        <w:t>Ni</w:t>
      </w:r>
      <w:r>
        <w:rPr>
          <w:rStyle w:val="8"/>
          <w:b w:val="0"/>
          <w:sz w:val="28"/>
          <w:szCs w:val="28"/>
        </w:rPr>
        <w:t>-</w:t>
      </w:r>
      <w:r>
        <w:rPr>
          <w:rStyle w:val="8"/>
          <w:b w:val="0"/>
          <w:sz w:val="28"/>
          <w:szCs w:val="28"/>
          <w:lang w:val="en-US"/>
        </w:rPr>
        <w:t>Cr</w:t>
      </w:r>
      <w:r>
        <w:rPr>
          <w:rStyle w:val="8"/>
          <w:b w:val="0"/>
          <w:sz w:val="28"/>
          <w:szCs w:val="28"/>
        </w:rPr>
        <w:t xml:space="preserve">  до сих пор является актуальной задачей, потому что отсутствует корреляция между концентрацией </w:t>
      </w:r>
      <w:r>
        <w:rPr>
          <w:rStyle w:val="8"/>
          <w:b w:val="0"/>
          <w:sz w:val="28"/>
          <w:szCs w:val="28"/>
          <w:lang w:val="en-US"/>
        </w:rPr>
        <w:t>Cr</w:t>
      </w:r>
      <w:r>
        <w:rPr>
          <w:rStyle w:val="8"/>
          <w:b w:val="0"/>
          <w:sz w:val="28"/>
          <w:szCs w:val="28"/>
          <w:vertAlign w:val="superscript"/>
        </w:rPr>
        <w:t>3+</w:t>
      </w:r>
      <w:r>
        <w:rPr>
          <w:rStyle w:val="8"/>
          <w:b w:val="0"/>
          <w:sz w:val="28"/>
          <w:szCs w:val="28"/>
        </w:rPr>
        <w:t xml:space="preserve"> в растворе и массовым содержанием восстановленного хрома в сплаве.</w:t>
      </w:r>
      <w:r>
        <w:rPr>
          <w:sz w:val="28"/>
          <w:szCs w:val="28"/>
        </w:rPr>
        <w:t xml:space="preserve"> </w:t>
      </w:r>
      <w:r>
        <w:rPr>
          <w:rStyle w:val="8"/>
          <w:b w:val="0"/>
          <w:sz w:val="28"/>
          <w:szCs w:val="28"/>
        </w:rPr>
        <w:t>Сплавы Ni-Cr широко используются в качестве биоматериалов для зубных протезов и других стоматологических применений, автомобильной промышленности, медицинских инструментов и домашней посуды благодаря своим свойствам, таким как биосовместимость, высокая твердость, коррозионная стойкость и стойкость к истиранию. В этих сплавах благодаря повышенным механическим свойствам, в том числе прочности и модулю упругости, а также повышенному модулю упругости, никель позволяет формировать сплавы малой толщины. Хром также повышает коррозионную стойкость из-за защитного слоя Cr</w:t>
      </w:r>
      <w:r>
        <w:rPr>
          <w:rStyle w:val="8"/>
          <w:b w:val="0"/>
          <w:sz w:val="28"/>
          <w:szCs w:val="28"/>
          <w:vertAlign w:val="subscript"/>
        </w:rPr>
        <w:t>2</w:t>
      </w:r>
      <w:r>
        <w:rPr>
          <w:rStyle w:val="8"/>
          <w:b w:val="0"/>
          <w:sz w:val="28"/>
          <w:szCs w:val="28"/>
        </w:rPr>
        <w:t>O</w:t>
      </w:r>
      <w:r>
        <w:rPr>
          <w:rStyle w:val="8"/>
          <w:b w:val="0"/>
          <w:sz w:val="28"/>
          <w:szCs w:val="28"/>
          <w:vertAlign w:val="subscript"/>
        </w:rPr>
        <w:t>3</w:t>
      </w:r>
      <w:r>
        <w:rPr>
          <w:rStyle w:val="8"/>
          <w:b w:val="0"/>
          <w:sz w:val="28"/>
          <w:szCs w:val="28"/>
        </w:rPr>
        <w:t>, образующегося на поверхности сплава [7].</w:t>
      </w:r>
    </w:p>
    <w:p w14:paraId="30EDC419">
      <w:pPr>
        <w:spacing w:line="360" w:lineRule="auto"/>
        <w:ind w:firstLine="709"/>
        <w:jc w:val="both"/>
        <w:rPr>
          <w:rStyle w:val="8"/>
          <w:b w:val="0"/>
          <w:sz w:val="28"/>
          <w:szCs w:val="28"/>
        </w:rPr>
      </w:pPr>
      <w:r>
        <w:rPr>
          <w:rStyle w:val="8"/>
          <w:b w:val="0"/>
          <w:sz w:val="28"/>
          <w:szCs w:val="28"/>
        </w:rPr>
        <w:t xml:space="preserve">Целью настоящей работы является синтез послойных никель-хромовых покрытий путем электрохимического осаждения на сплавы системы </w:t>
      </w:r>
      <w:r>
        <w:rPr>
          <w:rStyle w:val="8"/>
          <w:b w:val="0"/>
          <w:sz w:val="28"/>
          <w:szCs w:val="28"/>
          <w:lang w:val="en-US"/>
        </w:rPr>
        <w:t>Co</w:t>
      </w:r>
      <w:r>
        <w:rPr>
          <w:rStyle w:val="8"/>
          <w:b w:val="0"/>
          <w:sz w:val="28"/>
          <w:szCs w:val="28"/>
        </w:rPr>
        <w:t>-</w:t>
      </w:r>
      <w:r>
        <w:rPr>
          <w:rStyle w:val="8"/>
          <w:b w:val="0"/>
          <w:sz w:val="28"/>
          <w:szCs w:val="28"/>
          <w:lang w:val="en-US"/>
        </w:rPr>
        <w:t>Re</w:t>
      </w:r>
      <w:r>
        <w:rPr>
          <w:rStyle w:val="8"/>
          <w:b w:val="0"/>
          <w:sz w:val="28"/>
          <w:szCs w:val="28"/>
        </w:rPr>
        <w:t>-</w:t>
      </w:r>
      <w:r>
        <w:rPr>
          <w:rStyle w:val="8"/>
          <w:b w:val="0"/>
          <w:sz w:val="28"/>
          <w:szCs w:val="28"/>
          <w:lang w:val="en-US"/>
        </w:rPr>
        <w:t>Nb</w:t>
      </w:r>
      <w:r>
        <w:rPr>
          <w:rStyle w:val="8"/>
          <w:b w:val="0"/>
          <w:sz w:val="28"/>
          <w:szCs w:val="28"/>
        </w:rPr>
        <w:t xml:space="preserve"> и проведение сравнительного анализа их состава, а также установление корреляции между концентрациями </w:t>
      </w:r>
      <w:r>
        <w:rPr>
          <w:rStyle w:val="8"/>
          <w:b w:val="0"/>
          <w:sz w:val="28"/>
          <w:szCs w:val="28"/>
          <w:lang w:val="en-US"/>
        </w:rPr>
        <w:t>Cr</w:t>
      </w:r>
      <w:r>
        <w:rPr>
          <w:rStyle w:val="8"/>
          <w:b w:val="0"/>
          <w:sz w:val="28"/>
          <w:szCs w:val="28"/>
        </w:rPr>
        <w:t>(</w:t>
      </w:r>
      <w:r>
        <w:rPr>
          <w:rStyle w:val="8"/>
          <w:b w:val="0"/>
          <w:sz w:val="28"/>
          <w:szCs w:val="28"/>
          <w:lang w:val="en-US"/>
        </w:rPr>
        <w:t>III</w:t>
      </w:r>
      <w:r>
        <w:rPr>
          <w:rStyle w:val="8"/>
          <w:b w:val="0"/>
          <w:sz w:val="28"/>
          <w:szCs w:val="28"/>
        </w:rPr>
        <w:t xml:space="preserve">) и </w:t>
      </w:r>
      <w:r>
        <w:rPr>
          <w:rStyle w:val="8"/>
          <w:b w:val="0"/>
          <w:sz w:val="28"/>
          <w:szCs w:val="28"/>
          <w:lang w:val="en-US"/>
        </w:rPr>
        <w:t>Ni</w:t>
      </w:r>
      <w:r>
        <w:rPr>
          <w:rStyle w:val="8"/>
          <w:b w:val="0"/>
          <w:sz w:val="28"/>
          <w:szCs w:val="28"/>
        </w:rPr>
        <w:t xml:space="preserve"> (</w:t>
      </w:r>
      <w:r>
        <w:rPr>
          <w:rStyle w:val="8"/>
          <w:b w:val="0"/>
          <w:sz w:val="28"/>
          <w:szCs w:val="28"/>
          <w:lang w:val="en-US"/>
        </w:rPr>
        <w:t>II</w:t>
      </w:r>
      <w:r>
        <w:rPr>
          <w:rStyle w:val="8"/>
          <w:b w:val="0"/>
          <w:sz w:val="28"/>
          <w:szCs w:val="28"/>
        </w:rPr>
        <w:t>) в растворе и массовым содержанием этих элементов в синтезированном сплаве.</w:t>
      </w:r>
      <w:r>
        <w:br w:type="page"/>
      </w:r>
    </w:p>
    <w:p w14:paraId="6CE620ED">
      <w:pPr>
        <w:pStyle w:val="2"/>
        <w:rPr>
          <w:rStyle w:val="8"/>
          <w:rFonts w:cs="Times New Roman"/>
          <w:b/>
          <w:bCs/>
          <w:sz w:val="24"/>
          <w:szCs w:val="24"/>
        </w:rPr>
      </w:pPr>
      <w:bookmarkStart w:id="1" w:name="_Toc167999792"/>
      <w:r>
        <w:rPr>
          <w:rStyle w:val="8"/>
          <w:rFonts w:cs="Times New Roman"/>
          <w:b/>
          <w:bCs/>
        </w:rPr>
        <w:t>2. Литературный обзор</w:t>
      </w:r>
      <w:bookmarkEnd w:id="1"/>
    </w:p>
    <w:p w14:paraId="0C715C2B">
      <w:pPr>
        <w:pStyle w:val="3"/>
        <w:rPr>
          <w:rFonts w:cs="Times New Roman"/>
          <w:sz w:val="28"/>
          <w:szCs w:val="28"/>
        </w:rPr>
      </w:pPr>
      <w:bookmarkStart w:id="2" w:name="_Toc167999793"/>
      <w:r>
        <w:rPr>
          <w:rFonts w:cs="Times New Roman"/>
          <w:sz w:val="28"/>
          <w:szCs w:val="28"/>
        </w:rPr>
        <w:t>2.1 Метод электрохимического осаждения металлов из водных растворов</w:t>
      </w:r>
      <w:bookmarkEnd w:id="2"/>
    </w:p>
    <w:p w14:paraId="739DBD1C">
      <w:pPr>
        <w:spacing w:before="120" w:line="360" w:lineRule="auto"/>
        <w:ind w:firstLine="709"/>
        <w:jc w:val="both"/>
        <w:rPr>
          <w:rStyle w:val="8"/>
          <w:b w:val="0"/>
          <w:color w:val="000000" w:themeColor="text1"/>
          <w:sz w:val="28"/>
          <w:szCs w:val="28"/>
          <w14:textFill>
            <w14:solidFill>
              <w14:schemeClr w14:val="tx1"/>
            </w14:solidFill>
          </w14:textFill>
        </w:rPr>
      </w:pPr>
      <w:r>
        <w:rPr>
          <w:color w:val="000000"/>
          <w:sz w:val="28"/>
          <w:szCs w:val="28"/>
        </w:rPr>
        <w:t xml:space="preserve">В основе электрохимического осаждения металлических пленок лежит явление электролиза, при котором происходит катодное восстановление катионов </w:t>
      </w:r>
      <w:r>
        <w:rPr>
          <w:color w:val="000000" w:themeColor="text1"/>
          <w:sz w:val="28"/>
          <w:szCs w:val="28"/>
          <w14:textFill>
            <w14:solidFill>
              <w14:schemeClr w14:val="tx1"/>
            </w14:solidFill>
          </w14:textFill>
        </w:rPr>
        <w:t>[8].</w:t>
      </w:r>
    </w:p>
    <w:p w14:paraId="36B477AD">
      <w:pPr>
        <w:spacing w:before="120" w:line="360" w:lineRule="auto"/>
        <w:ind w:firstLine="709"/>
        <w:jc w:val="both"/>
        <w:rPr>
          <w:rStyle w:val="8"/>
          <w:b w:val="0"/>
          <w:color w:val="FF0000"/>
          <w:sz w:val="28"/>
          <w:szCs w:val="28"/>
        </w:rPr>
      </w:pPr>
      <w:r>
        <w:rPr>
          <w:rStyle w:val="8"/>
          <w:b w:val="0"/>
          <w:sz w:val="28"/>
          <w:szCs w:val="28"/>
        </w:rPr>
        <w:t xml:space="preserve">По сравнению с другими методами, электроосаждение известно как особый метод, который обеспечивает такие преимущества, как меньшая стоимость, простота конструкции, возможность изготовления материалов с размером зерна менее 20 нм, высокая производительность и меньшее количество ограничивающих технологических препятствий для перевода этого процесса из лабораторного состояния в промышленное </w:t>
      </w:r>
      <w:r>
        <w:rPr>
          <w:rStyle w:val="8"/>
          <w:b w:val="0"/>
          <w:color w:val="000000" w:themeColor="text1"/>
          <w:sz w:val="28"/>
          <w:szCs w:val="28"/>
          <w14:textFill>
            <w14:solidFill>
              <w14:schemeClr w14:val="tx1"/>
            </w14:solidFill>
          </w14:textFill>
        </w:rPr>
        <w:t>[6-8].</w:t>
      </w:r>
    </w:p>
    <w:p w14:paraId="39A2FD2F">
      <w:pPr>
        <w:spacing w:before="120" w:line="360" w:lineRule="auto"/>
        <w:ind w:firstLine="709"/>
        <w:jc w:val="both"/>
        <w:rPr>
          <w:rStyle w:val="8"/>
          <w:b w:val="0"/>
          <w:color w:val="000000" w:themeColor="text1"/>
          <w:sz w:val="28"/>
          <w:szCs w:val="28"/>
          <w14:textFill>
            <w14:solidFill>
              <w14:schemeClr w14:val="tx1"/>
            </w14:solidFill>
          </w14:textFill>
        </w:rPr>
      </w:pPr>
      <w:r>
        <w:rPr>
          <w:rStyle w:val="8"/>
          <w:b w:val="0"/>
          <w:sz w:val="28"/>
          <w:szCs w:val="28"/>
        </w:rPr>
        <w:t>Процессы электрохимического осаждения металлов из растворов, как правило, протекают со значительно более высокими скоростям, чем процессы химического осаждения, что является преимуществом. В то же время эти процессы не всегда применимы, например, их применение ограничено при осаждении на изделия сложной геометрической формы из-за малой рассеивающей способности. Их факторов, влияющих на состав, структуру и свойства катодного продукта, следует отметить значение плотности тока, при котором осуществляется процесс восстановления, и его полярности, а также природы электродов, на поверхности которых осаждается электролитический сплав</w:t>
      </w:r>
      <w:r>
        <w:rPr>
          <w:rStyle w:val="8"/>
          <w:b w:val="0"/>
          <w:color w:val="FF0000"/>
          <w:sz w:val="28"/>
          <w:szCs w:val="28"/>
        </w:rPr>
        <w:t xml:space="preserve"> </w:t>
      </w:r>
      <w:r>
        <w:rPr>
          <w:rStyle w:val="8"/>
          <w:b w:val="0"/>
          <w:color w:val="000000" w:themeColor="text1"/>
          <w:sz w:val="28"/>
          <w:szCs w:val="28"/>
          <w14:textFill>
            <w14:solidFill>
              <w14:schemeClr w14:val="tx1"/>
            </w14:solidFill>
          </w14:textFill>
        </w:rPr>
        <w:t>[9].</w:t>
      </w:r>
    </w:p>
    <w:p w14:paraId="59CCBA0A">
      <w:pPr>
        <w:spacing w:line="360" w:lineRule="auto"/>
        <w:ind w:firstLine="709"/>
        <w:jc w:val="both"/>
        <w:rPr>
          <w:color w:val="000000"/>
          <w:sz w:val="28"/>
          <w:szCs w:val="28"/>
        </w:rPr>
      </w:pPr>
      <w:r>
        <w:rPr>
          <w:color w:val="000000"/>
          <w:sz w:val="28"/>
          <w:szCs w:val="28"/>
        </w:rPr>
        <w:t>Для осаждения пленок подготовленные подложки помещают в электролитическую ванну на катоде (рис.1). Анод обычно изготавливают из того же металла, что и осаждаемая пленка. В состав электролита входит соль осаждаемого металла. Процесс осаждения пленок сопровождается растворением анода, что предотвращает обеднение электролита ионами металла. Площадь поверхности анода приблизительно в 1,5 раза превышает площадь поверхности, на которую осаждается пленка.</w:t>
      </w:r>
    </w:p>
    <w:p w14:paraId="3B49B6C7">
      <w:pPr>
        <w:pStyle w:val="35"/>
        <w:spacing w:line="360" w:lineRule="auto"/>
        <w:jc w:val="center"/>
        <w:rPr>
          <w:rFonts w:ascii="Times New Roman" w:hAnsi="Times New Roman" w:cs="Times New Roman"/>
          <w:b w:val="0"/>
          <w:i/>
          <w:color w:val="FF0000"/>
          <w:sz w:val="28"/>
          <w:szCs w:val="28"/>
        </w:rPr>
      </w:pPr>
      <w:r>
        <w:rPr>
          <w:rFonts w:ascii="Times New Roman" w:hAnsi="Times New Roman" w:cs="Times New Roman"/>
          <w:b w:val="0"/>
          <w:i/>
          <w:color w:val="FF0000"/>
          <w:sz w:val="28"/>
          <w:szCs w:val="28"/>
          <w:lang w:eastAsia="ru-RU"/>
        </w:rPr>
        <w:drawing>
          <wp:inline distT="0" distB="0" distL="0" distR="0">
            <wp:extent cx="5196840" cy="259842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7"/>
                    <a:stretch>
                      <a:fillRect/>
                    </a:stretch>
                  </pic:blipFill>
                  <pic:spPr>
                    <a:xfrm>
                      <a:off x="0" y="0"/>
                      <a:ext cx="5196840" cy="2598420"/>
                    </a:xfrm>
                    <a:prstGeom prst="rect">
                      <a:avLst/>
                    </a:prstGeom>
                  </pic:spPr>
                </pic:pic>
              </a:graphicData>
            </a:graphic>
          </wp:inline>
        </w:drawing>
      </w:r>
    </w:p>
    <w:p w14:paraId="525012D3">
      <w:pPr>
        <w:jc w:val="center"/>
        <w:rPr>
          <w:color w:val="000000"/>
          <w:sz w:val="28"/>
          <w:szCs w:val="28"/>
        </w:rPr>
      </w:pPr>
      <w:r>
        <w:rPr>
          <w:i/>
          <w:color w:val="000000"/>
          <w:sz w:val="28"/>
          <w:szCs w:val="28"/>
        </w:rPr>
        <w:t>Рисунок 1</w:t>
      </w:r>
      <w:r>
        <w:rPr>
          <w:color w:val="000000"/>
          <w:sz w:val="28"/>
          <w:szCs w:val="28"/>
        </w:rPr>
        <w:t xml:space="preserve">. Конструктивная схема трехэлектродной ячейки для </w:t>
      </w:r>
    </w:p>
    <w:p w14:paraId="27C1E478">
      <w:pPr>
        <w:jc w:val="center"/>
        <w:rPr>
          <w:sz w:val="28"/>
          <w:szCs w:val="28"/>
          <w:lang w:eastAsia="en-US"/>
        </w:rPr>
      </w:pPr>
      <w:r>
        <w:rPr>
          <w:color w:val="000000"/>
          <w:sz w:val="28"/>
          <w:szCs w:val="28"/>
        </w:rPr>
        <w:t>электрохимических измерений.</w:t>
      </w:r>
    </w:p>
    <w:p w14:paraId="07816B51">
      <w:pPr>
        <w:pStyle w:val="20"/>
        <w:spacing w:before="280" w:after="280" w:line="360" w:lineRule="auto"/>
        <w:jc w:val="both"/>
        <w:rPr>
          <w:color w:val="000000"/>
          <w:sz w:val="28"/>
          <w:szCs w:val="28"/>
        </w:rPr>
      </w:pPr>
      <w:r>
        <w:rPr>
          <w:color w:val="000000"/>
          <w:sz w:val="28"/>
          <w:szCs w:val="28"/>
        </w:rPr>
        <w:t>Электрохимическое осаждение металлов согласно современным представлениям происходит в четыре стадии:</w:t>
      </w:r>
    </w:p>
    <w:p w14:paraId="0BA7F60F">
      <w:pPr>
        <w:pStyle w:val="20"/>
        <w:spacing w:before="280" w:after="280" w:line="360" w:lineRule="auto"/>
        <w:jc w:val="both"/>
        <w:rPr>
          <w:color w:val="000000"/>
          <w:sz w:val="28"/>
          <w:szCs w:val="28"/>
        </w:rPr>
      </w:pPr>
      <w:r>
        <w:rPr>
          <w:color w:val="000000"/>
          <w:sz w:val="28"/>
          <w:szCs w:val="28"/>
        </w:rPr>
        <w:t>1) электролитическая диссоциация соли в растворе;</w:t>
      </w:r>
    </w:p>
    <w:p w14:paraId="35B7B166">
      <w:pPr>
        <w:pStyle w:val="20"/>
        <w:spacing w:before="280" w:after="280" w:line="360" w:lineRule="auto"/>
        <w:jc w:val="both"/>
        <w:rPr>
          <w:color w:val="000000" w:themeColor="text1"/>
          <w:sz w:val="28"/>
          <w:szCs w:val="28"/>
          <w14:textFill>
            <w14:solidFill>
              <w14:schemeClr w14:val="tx1"/>
            </w14:solidFill>
          </w14:textFill>
        </w:rPr>
      </w:pPr>
      <w:r>
        <w:rPr>
          <w:color w:val="000000"/>
          <w:sz w:val="28"/>
          <w:szCs w:val="28"/>
        </w:rPr>
        <w:t xml:space="preserve">2) перенос ионов из объема электролита к электроду </w:t>
      </w:r>
      <w:r>
        <w:rPr>
          <w:color w:val="000000" w:themeColor="text1"/>
          <w:sz w:val="28"/>
          <w:szCs w:val="28"/>
          <w14:textFill>
            <w14:solidFill>
              <w14:schemeClr w14:val="tx1"/>
            </w14:solidFill>
          </w14:textFill>
        </w:rPr>
        <w:t>в составе образовавшейся комплексной частицы;</w:t>
      </w:r>
    </w:p>
    <w:p w14:paraId="1FF3F857">
      <w:pPr>
        <w:pStyle w:val="20"/>
        <w:spacing w:before="280" w:after="280" w:line="360" w:lineRule="auto"/>
        <w:jc w:val="both"/>
        <w:rPr>
          <w:color w:val="000000"/>
          <w:sz w:val="28"/>
          <w:szCs w:val="28"/>
        </w:rPr>
      </w:pPr>
      <w:r>
        <w:rPr>
          <w:color w:val="000000"/>
          <w:sz w:val="28"/>
          <w:szCs w:val="28"/>
        </w:rPr>
        <w:t xml:space="preserve">3) переход </w:t>
      </w:r>
      <w:r>
        <w:rPr>
          <w:color w:val="000000" w:themeColor="text1"/>
          <w:sz w:val="28"/>
          <w:szCs w:val="28"/>
          <w14:textFill>
            <w14:solidFill>
              <w14:schemeClr w14:val="tx1"/>
            </w14:solidFill>
          </w14:textFill>
        </w:rPr>
        <w:t xml:space="preserve">комплексных </w:t>
      </w:r>
      <w:r>
        <w:rPr>
          <w:color w:val="000000"/>
          <w:sz w:val="28"/>
          <w:szCs w:val="28"/>
        </w:rPr>
        <w:t>ионов на границе фаз из объема электролита к металлу;</w:t>
      </w:r>
    </w:p>
    <w:p w14:paraId="459B4628">
      <w:pPr>
        <w:pStyle w:val="20"/>
        <w:spacing w:before="280" w:after="280" w:line="360" w:lineRule="auto"/>
        <w:jc w:val="both"/>
        <w:rPr>
          <w:color w:val="000000"/>
          <w:sz w:val="28"/>
          <w:szCs w:val="28"/>
        </w:rPr>
      </w:pPr>
      <w:r>
        <w:rPr>
          <w:color w:val="000000"/>
          <w:sz w:val="28"/>
          <w:szCs w:val="28"/>
        </w:rPr>
        <w:t>4) разрушение комплексной частицы</w:t>
      </w:r>
    </w:p>
    <w:p w14:paraId="0A470136">
      <w:pPr>
        <w:pStyle w:val="20"/>
        <w:spacing w:before="280" w:after="280" w:line="360" w:lineRule="auto"/>
        <w:jc w:val="both"/>
        <w:rPr>
          <w:color w:val="000000"/>
          <w:sz w:val="28"/>
          <w:szCs w:val="28"/>
        </w:rPr>
      </w:pPr>
      <w:r>
        <w:rPr>
          <w:color w:val="000000"/>
          <w:sz w:val="28"/>
          <w:szCs w:val="28"/>
        </w:rPr>
        <w:t>5) диффузия адсорбированных атомов по поверхности электрода к местам роста пленки и встраивание атомов в кристаллическую решетку.</w:t>
      </w:r>
    </w:p>
    <w:p w14:paraId="2DFF8577">
      <w:pPr>
        <w:pStyle w:val="20"/>
        <w:spacing w:before="280" w:after="280" w:line="360" w:lineRule="auto"/>
        <w:jc w:val="both"/>
        <w:rPr>
          <w:color w:val="000000"/>
          <w:sz w:val="28"/>
          <w:szCs w:val="28"/>
        </w:rPr>
      </w:pPr>
      <w:r>
        <w:rPr>
          <w:color w:val="000000"/>
          <w:sz w:val="28"/>
          <w:szCs w:val="28"/>
        </w:rPr>
        <w:t xml:space="preserve">В электролитической ванне (рис.1) </w:t>
      </w:r>
      <w:r>
        <w:rPr>
          <w:color w:val="000000" w:themeColor="text1"/>
          <w:sz w:val="28"/>
          <w:szCs w:val="28"/>
          <w14:textFill>
            <w14:solidFill>
              <w14:schemeClr w14:val="tx1"/>
            </w14:solidFill>
          </w14:textFill>
        </w:rPr>
        <w:t>в примитивной схеме, без учета комплексообразования в растворе,</w:t>
      </w:r>
      <w:r>
        <w:rPr>
          <w:color w:val="000000"/>
          <w:sz w:val="28"/>
          <w:szCs w:val="28"/>
        </w:rPr>
        <w:t xml:space="preserve"> происходит два вида превращений.</w:t>
      </w:r>
    </w:p>
    <w:p w14:paraId="0247CC83">
      <w:pPr>
        <w:pStyle w:val="20"/>
        <w:spacing w:before="280" w:after="280" w:line="360" w:lineRule="auto"/>
        <w:jc w:val="both"/>
        <w:rPr>
          <w:color w:val="000000"/>
          <w:sz w:val="28"/>
          <w:szCs w:val="28"/>
        </w:rPr>
      </w:pPr>
      <w:r>
        <w:rPr>
          <w:color w:val="000000"/>
          <w:sz w:val="28"/>
          <w:szCs w:val="28"/>
        </w:rPr>
        <w:t>В результате одного из них освобождаются электроны на аноде:</w:t>
      </w:r>
    </w:p>
    <w:p w14:paraId="45FA548C">
      <w:pPr>
        <w:pStyle w:val="20"/>
        <w:spacing w:before="280" w:after="280" w:line="360" w:lineRule="auto"/>
        <w:jc w:val="both"/>
        <w:rPr>
          <w:color w:val="000000"/>
          <w:sz w:val="28"/>
          <w:szCs w:val="28"/>
        </w:rPr>
      </w:pPr>
      <w:r>
        <w:rPr>
          <w:i/>
          <w:iCs/>
          <w:color w:val="000000"/>
          <w:sz w:val="28"/>
          <w:szCs w:val="28"/>
        </w:rPr>
        <w:t>2Х</w:t>
      </w:r>
      <w:r>
        <w:rPr>
          <w:i/>
          <w:iCs/>
          <w:color w:val="000000"/>
          <w:sz w:val="28"/>
          <w:szCs w:val="28"/>
          <w:vertAlign w:val="superscript"/>
        </w:rPr>
        <w:t> -</w:t>
      </w:r>
      <w:r>
        <w:rPr>
          <w:i/>
          <w:iCs/>
          <w:color w:val="000000"/>
          <w:sz w:val="28"/>
          <w:szCs w:val="28"/>
        </w:rPr>
        <w:t> - 2е</w:t>
      </w:r>
      <w:r>
        <w:rPr>
          <w:i/>
          <w:iCs/>
          <w:color w:val="000000"/>
          <w:sz w:val="28"/>
          <w:szCs w:val="28"/>
          <w:vertAlign w:val="superscript"/>
        </w:rPr>
        <w:t> -</w:t>
      </w:r>
      <w:r>
        <w:rPr>
          <w:i/>
          <w:iCs/>
          <w:color w:val="000000"/>
          <w:sz w:val="28"/>
          <w:szCs w:val="28"/>
        </w:rPr>
        <w:t> = Х</w:t>
      </w:r>
      <w:r>
        <w:rPr>
          <w:i/>
          <w:iCs/>
          <w:color w:val="000000"/>
          <w:sz w:val="28"/>
          <w:szCs w:val="28"/>
          <w:vertAlign w:val="subscript"/>
        </w:rPr>
        <w:t>2</w:t>
      </w:r>
      <w:r>
        <w:rPr>
          <w:color w:val="000000"/>
          <w:sz w:val="28"/>
          <w:szCs w:val="28"/>
        </w:rPr>
        <w:t>, (1.1)</w:t>
      </w:r>
    </w:p>
    <w:p w14:paraId="5EED64DE">
      <w:pPr>
        <w:pStyle w:val="20"/>
        <w:spacing w:before="280" w:after="280" w:line="360" w:lineRule="auto"/>
        <w:jc w:val="both"/>
        <w:rPr>
          <w:color w:val="000000"/>
          <w:sz w:val="28"/>
          <w:szCs w:val="28"/>
        </w:rPr>
      </w:pPr>
      <w:r>
        <w:rPr>
          <w:color w:val="000000"/>
          <w:sz w:val="28"/>
          <w:szCs w:val="28"/>
        </w:rPr>
        <w:t>где </w:t>
      </w:r>
      <w:r>
        <w:rPr>
          <w:i/>
          <w:iCs/>
          <w:color w:val="000000"/>
          <w:sz w:val="28"/>
          <w:szCs w:val="28"/>
        </w:rPr>
        <w:t>Х</w:t>
      </w:r>
      <w:r>
        <w:rPr>
          <w:i/>
          <w:iCs/>
          <w:color w:val="000000"/>
          <w:sz w:val="28"/>
          <w:szCs w:val="28"/>
          <w:vertAlign w:val="superscript"/>
        </w:rPr>
        <w:t> -</w:t>
      </w:r>
      <w:r>
        <w:rPr>
          <w:color w:val="000000"/>
          <w:sz w:val="28"/>
          <w:szCs w:val="28"/>
        </w:rPr>
        <w:t>- галлоид-, сульфат-, нитрат- и т.п. ионы. В результате другого - электроны присоединяются на катоде:</w:t>
      </w:r>
    </w:p>
    <w:p w14:paraId="42F0019D">
      <w:pPr>
        <w:pStyle w:val="20"/>
        <w:spacing w:before="280" w:after="280" w:line="360" w:lineRule="auto"/>
        <w:jc w:val="both"/>
        <w:rPr>
          <w:color w:val="000000"/>
          <w:sz w:val="28"/>
          <w:szCs w:val="28"/>
        </w:rPr>
      </w:pPr>
      <w:r>
        <w:rPr>
          <w:i/>
          <w:iCs/>
          <w:color w:val="000000"/>
          <w:sz w:val="28"/>
          <w:szCs w:val="28"/>
        </w:rPr>
        <w:t>Ме</w:t>
      </w:r>
      <w:r>
        <w:rPr>
          <w:i/>
          <w:iCs/>
          <w:color w:val="000000"/>
          <w:sz w:val="28"/>
          <w:szCs w:val="28"/>
          <w:vertAlign w:val="superscript"/>
        </w:rPr>
        <w:t>2+</w:t>
      </w:r>
      <w:r>
        <w:rPr>
          <w:i/>
          <w:iCs/>
          <w:color w:val="000000"/>
          <w:sz w:val="28"/>
          <w:szCs w:val="28"/>
        </w:rPr>
        <w:t> + 2е</w:t>
      </w:r>
      <w:r>
        <w:rPr>
          <w:i/>
          <w:iCs/>
          <w:color w:val="000000"/>
          <w:sz w:val="28"/>
          <w:szCs w:val="28"/>
          <w:vertAlign w:val="superscript"/>
        </w:rPr>
        <w:t> -</w:t>
      </w:r>
      <w:r>
        <w:rPr>
          <w:i/>
          <w:iCs/>
          <w:color w:val="000000"/>
          <w:sz w:val="28"/>
          <w:szCs w:val="28"/>
        </w:rPr>
        <w:t> =Ме</w:t>
      </w:r>
      <w:r>
        <w:rPr>
          <w:color w:val="000000"/>
          <w:sz w:val="28"/>
          <w:szCs w:val="28"/>
        </w:rPr>
        <w:t>. (1.2)</w:t>
      </w:r>
    </w:p>
    <w:p w14:paraId="03FA1D44">
      <w:pPr>
        <w:pStyle w:val="20"/>
        <w:spacing w:before="280" w:after="280" w:line="360" w:lineRule="auto"/>
        <w:jc w:val="both"/>
        <w:rPr>
          <w:color w:val="000000"/>
          <w:sz w:val="28"/>
          <w:szCs w:val="28"/>
        </w:rPr>
      </w:pPr>
      <w:r>
        <w:rPr>
          <w:color w:val="000000"/>
          <w:sz w:val="28"/>
          <w:szCs w:val="28"/>
        </w:rPr>
        <w:t>В растворе электролита при диссоциации возникают ионы:</w:t>
      </w:r>
    </w:p>
    <w:p w14:paraId="59DF6486">
      <w:pPr>
        <w:pStyle w:val="20"/>
        <w:spacing w:before="280" w:after="280" w:line="360" w:lineRule="auto"/>
        <w:jc w:val="both"/>
        <w:rPr>
          <w:color w:val="000000"/>
          <w:sz w:val="28"/>
          <w:szCs w:val="28"/>
        </w:rPr>
      </w:pPr>
      <w:r>
        <w:rPr>
          <w:i/>
          <w:iCs/>
          <w:color w:val="000000"/>
          <w:sz w:val="28"/>
          <w:szCs w:val="28"/>
        </w:rPr>
        <w:t>МеХ</w:t>
      </w:r>
      <w:r>
        <w:rPr>
          <w:i/>
          <w:iCs/>
          <w:color w:val="000000"/>
          <w:sz w:val="28"/>
          <w:szCs w:val="28"/>
          <w:vertAlign w:val="subscript"/>
        </w:rPr>
        <w:t>2</w:t>
      </w:r>
      <w:r>
        <w:rPr>
          <w:i/>
          <w:iCs/>
          <w:color w:val="000000"/>
          <w:sz w:val="28"/>
          <w:szCs w:val="28"/>
        </w:rPr>
        <w:t> </w:t>
      </w:r>
      <w:r>
        <w:rPr>
          <w:rFonts w:eastAsia="Symbol"/>
          <w:i/>
          <w:iCs/>
          <w:color w:val="000000"/>
          <w:sz w:val="28"/>
          <w:szCs w:val="28"/>
        </w:rPr>
        <w:sym w:font="Symbol" w:char="F0DE"/>
      </w:r>
      <w:r>
        <w:rPr>
          <w:i/>
          <w:iCs/>
          <w:color w:val="000000"/>
          <w:sz w:val="28"/>
          <w:szCs w:val="28"/>
        </w:rPr>
        <w:t> Ме</w:t>
      </w:r>
      <w:r>
        <w:rPr>
          <w:i/>
          <w:iCs/>
          <w:color w:val="000000"/>
          <w:sz w:val="28"/>
          <w:szCs w:val="28"/>
          <w:vertAlign w:val="superscript"/>
        </w:rPr>
        <w:t>2+</w:t>
      </w:r>
      <w:r>
        <w:rPr>
          <w:i/>
          <w:iCs/>
          <w:color w:val="000000"/>
          <w:sz w:val="28"/>
          <w:szCs w:val="28"/>
        </w:rPr>
        <w:t> + 2Х</w:t>
      </w:r>
      <w:r>
        <w:rPr>
          <w:i/>
          <w:iCs/>
          <w:color w:val="000000"/>
          <w:sz w:val="28"/>
          <w:szCs w:val="28"/>
          <w:vertAlign w:val="superscript"/>
        </w:rPr>
        <w:t> -</w:t>
      </w:r>
      <w:r>
        <w:rPr>
          <w:i/>
          <w:iCs/>
          <w:color w:val="000000"/>
          <w:sz w:val="28"/>
          <w:szCs w:val="28"/>
        </w:rPr>
        <w:t>.</w:t>
      </w:r>
      <w:r>
        <w:rPr>
          <w:color w:val="000000"/>
          <w:sz w:val="28"/>
          <w:szCs w:val="28"/>
        </w:rPr>
        <w:t> (1.3)</w:t>
      </w:r>
    </w:p>
    <w:p w14:paraId="2FB29FC8">
      <w:pPr>
        <w:pStyle w:val="20"/>
        <w:spacing w:before="100" w:after="100" w:line="360" w:lineRule="auto"/>
        <w:ind w:firstLine="709"/>
        <w:jc w:val="both"/>
        <w:rPr>
          <w:color w:val="000000"/>
          <w:sz w:val="28"/>
          <w:szCs w:val="28"/>
        </w:rPr>
      </w:pPr>
      <w:r>
        <w:rPr>
          <w:color w:val="000000"/>
          <w:sz w:val="28"/>
          <w:szCs w:val="28"/>
        </w:rPr>
        <w:t>Если реакции (1.1) и (1.2) пространственно разделены друг от друга, то освобождающиеся на аноде при окислении электроны переносятся к катоду в зону восстановления через внешнюю цепь. Процессы электроосаждения пленок довольно сложны, так как на них влияет большое число трудно учитываемых факторов (степень пассивирования, структура и неоднородность поверхности, на которую осаждается пленка металла; характер адсорбции катионов, анионов и других частиц, а также скорость их переноса; режимы электролиза, влияющие на неоднородность концентрационного и электрического полей вблизи подложки и др.).</w:t>
      </w:r>
    </w:p>
    <w:p w14:paraId="66058329">
      <w:pPr>
        <w:spacing w:line="360" w:lineRule="auto"/>
        <w:ind w:firstLine="709"/>
        <w:jc w:val="both"/>
        <w:rPr>
          <w:sz w:val="28"/>
          <w:szCs w:val="28"/>
        </w:rPr>
      </w:pPr>
      <w:r>
        <w:rPr>
          <w:sz w:val="28"/>
          <w:szCs w:val="28"/>
        </w:rPr>
        <w:t xml:space="preserve">Необходимо также учитывать, что восстановитель находится в водном растворе определенной концентрации с определенным значением </w:t>
      </w:r>
      <w:r>
        <w:rPr>
          <w:sz w:val="28"/>
          <w:szCs w:val="28"/>
          <w:lang w:val="en-US"/>
        </w:rPr>
        <w:t>pH</w:t>
      </w:r>
      <w:r>
        <w:rPr>
          <w:sz w:val="28"/>
          <w:szCs w:val="28"/>
        </w:rPr>
        <w:t>, следовательно, его редокс-потенциал будет отличаться от стандартного значения. Потенциалы типичных восстановителей имеют более отрицательные значения, чем потенциал 2</w:t>
      </w:r>
      <w:r>
        <w:rPr>
          <w:sz w:val="28"/>
          <w:szCs w:val="28"/>
          <w:lang w:val="en-US"/>
        </w:rPr>
        <w:t>H</w:t>
      </w:r>
      <w:r>
        <w:rPr>
          <w:sz w:val="28"/>
          <w:szCs w:val="28"/>
          <w:vertAlign w:val="superscript"/>
        </w:rPr>
        <w:t>+</w:t>
      </w:r>
      <w:r>
        <w:rPr>
          <w:sz w:val="28"/>
          <w:szCs w:val="28"/>
        </w:rPr>
        <w:t>/</w:t>
      </w:r>
      <w:r>
        <w:rPr>
          <w:sz w:val="28"/>
          <w:szCs w:val="28"/>
          <w:lang w:val="en-US"/>
        </w:rPr>
        <w:t>H</w:t>
      </w:r>
      <w:r>
        <w:rPr>
          <w:sz w:val="28"/>
          <w:szCs w:val="28"/>
          <w:vertAlign w:val="subscript"/>
        </w:rPr>
        <w:t>2</w:t>
      </w:r>
      <w:r>
        <w:rPr>
          <w:sz w:val="28"/>
          <w:szCs w:val="28"/>
        </w:rPr>
        <w:t>. К таким восстановителям относятся гипофосфит, гидразин, формальдегид, борогидрид и др. Разность потенциалов восстановителя и восстанавливаемого металла не должна быть слишком высока, чтобы не образовался высокодисперсный продукт быстрого восстановления. Для замедления реакции восстановления в состав раствора вводят лиганды для образования прочных комплексов с ионами восстанавливаемых металлов. Например, для никеля:</w:t>
      </w:r>
    </w:p>
    <w:p w14:paraId="272E15AE">
      <w:pPr>
        <w:spacing w:line="360" w:lineRule="auto"/>
        <w:jc w:val="both"/>
        <w:rPr>
          <w:sz w:val="28"/>
          <w:szCs w:val="28"/>
        </w:rPr>
      </w:pPr>
      <w:r>
        <w:rPr>
          <w:sz w:val="28"/>
          <w:szCs w:val="28"/>
          <w:lang w:val="en-US"/>
        </w:rPr>
        <w:t>Ni</w:t>
      </w:r>
      <w:r>
        <w:rPr>
          <w:sz w:val="28"/>
          <w:szCs w:val="28"/>
          <w:vertAlign w:val="superscript"/>
        </w:rPr>
        <w:t>2+</w:t>
      </w:r>
      <w:r>
        <w:rPr>
          <w:sz w:val="28"/>
          <w:szCs w:val="28"/>
        </w:rPr>
        <w:t xml:space="preserve"> + 2</w:t>
      </w:r>
      <w:r>
        <w:rPr>
          <w:sz w:val="28"/>
          <w:szCs w:val="28"/>
          <w:lang w:val="en-US"/>
        </w:rPr>
        <w:t>e</w:t>
      </w:r>
      <w:r>
        <w:rPr>
          <w:sz w:val="28"/>
          <w:szCs w:val="28"/>
          <w:vertAlign w:val="superscript"/>
        </w:rPr>
        <w:t>-</w:t>
      </w:r>
      <w:r>
        <w:rPr>
          <w:sz w:val="28"/>
          <w:szCs w:val="28"/>
        </w:rPr>
        <w:t xml:space="preserve"> = </w:t>
      </w:r>
      <w:r>
        <w:rPr>
          <w:sz w:val="28"/>
          <w:szCs w:val="28"/>
          <w:lang w:val="en-US"/>
        </w:rPr>
        <w:t>Ni</w:t>
      </w: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 xml:space="preserve">          </w:t>
      </w:r>
      <w:r>
        <w:rPr>
          <w:sz w:val="28"/>
          <w:szCs w:val="28"/>
          <w:lang w:val="en-US"/>
        </w:rPr>
        <w:t>E</w:t>
      </w:r>
      <w:r>
        <w:rPr>
          <w:sz w:val="28"/>
          <w:szCs w:val="28"/>
          <w:vertAlign w:val="subscript"/>
        </w:rPr>
        <w:t xml:space="preserve">0 </w:t>
      </w:r>
      <w:r>
        <w:rPr>
          <w:sz w:val="28"/>
          <w:szCs w:val="28"/>
        </w:rPr>
        <w:t>= -0.257 В</w:t>
      </w:r>
    </w:p>
    <w:p w14:paraId="4B0B93BD">
      <w:pPr>
        <w:spacing w:line="360" w:lineRule="auto"/>
        <w:jc w:val="both"/>
        <w:rPr>
          <w:sz w:val="28"/>
          <w:szCs w:val="28"/>
        </w:rPr>
      </w:pPr>
      <w:r>
        <w:rPr>
          <w:sz w:val="28"/>
          <w:szCs w:val="28"/>
        </w:rPr>
        <w:t>[</w:t>
      </w:r>
      <w:r>
        <w:rPr>
          <w:sz w:val="28"/>
          <w:szCs w:val="28"/>
          <w:lang w:val="en-US"/>
        </w:rPr>
        <w:t>NiCit</w:t>
      </w:r>
      <w:r>
        <w:rPr>
          <w:sz w:val="28"/>
          <w:szCs w:val="28"/>
        </w:rPr>
        <w:t>]</w:t>
      </w:r>
      <w:r>
        <w:rPr>
          <w:sz w:val="28"/>
          <w:szCs w:val="28"/>
          <w:vertAlign w:val="superscript"/>
        </w:rPr>
        <w:t>-</w:t>
      </w:r>
      <w:r>
        <w:rPr>
          <w:sz w:val="28"/>
          <w:szCs w:val="28"/>
        </w:rPr>
        <w:t xml:space="preserve"> + 2</w:t>
      </w:r>
      <w:r>
        <w:rPr>
          <w:sz w:val="28"/>
          <w:szCs w:val="28"/>
          <w:lang w:val="en-US"/>
        </w:rPr>
        <w:t>e</w:t>
      </w:r>
      <w:r>
        <w:rPr>
          <w:sz w:val="28"/>
          <w:szCs w:val="28"/>
          <w:vertAlign w:val="superscript"/>
        </w:rPr>
        <w:t>-</w:t>
      </w:r>
      <w:r>
        <w:rPr>
          <w:sz w:val="28"/>
          <w:szCs w:val="28"/>
        </w:rPr>
        <w:t xml:space="preserve"> = </w:t>
      </w:r>
      <w:r>
        <w:rPr>
          <w:sz w:val="28"/>
          <w:szCs w:val="28"/>
          <w:lang w:val="en-US"/>
        </w:rPr>
        <w:t>Ni</w:t>
      </w:r>
      <w:r>
        <w:rPr>
          <w:sz w:val="28"/>
          <w:szCs w:val="28"/>
        </w:rPr>
        <w:t xml:space="preserve"> + </w:t>
      </w:r>
      <w:r>
        <w:rPr>
          <w:sz w:val="28"/>
          <w:szCs w:val="28"/>
          <w:lang w:val="en-US"/>
        </w:rPr>
        <w:t>Cit</w:t>
      </w:r>
      <w:r>
        <w:rPr>
          <w:sz w:val="28"/>
          <w:szCs w:val="28"/>
          <w:vertAlign w:val="superscript"/>
        </w:rPr>
        <w:t>3-</w:t>
      </w:r>
      <w:r>
        <w:rPr>
          <w:sz w:val="28"/>
          <w:szCs w:val="28"/>
        </w:rPr>
        <w:t xml:space="preserve"> </w:t>
      </w:r>
      <w:r>
        <w:rPr>
          <w:sz w:val="28"/>
          <w:szCs w:val="28"/>
        </w:rPr>
        <w:tab/>
      </w:r>
      <w:r>
        <w:rPr>
          <w:sz w:val="28"/>
          <w:szCs w:val="28"/>
        </w:rPr>
        <w:tab/>
      </w:r>
      <w:r>
        <w:rPr>
          <w:sz w:val="28"/>
          <w:szCs w:val="28"/>
        </w:rPr>
        <w:tab/>
      </w:r>
      <w:r>
        <w:rPr>
          <w:sz w:val="28"/>
          <w:szCs w:val="28"/>
          <w:lang w:val="en-US"/>
        </w:rPr>
        <w:t>E</w:t>
      </w:r>
      <w:r>
        <w:rPr>
          <w:sz w:val="28"/>
          <w:szCs w:val="28"/>
          <w:vertAlign w:val="subscript"/>
        </w:rPr>
        <w:t>0</w:t>
      </w:r>
      <w:r>
        <w:rPr>
          <w:sz w:val="28"/>
          <w:szCs w:val="28"/>
        </w:rPr>
        <w:t>=-0.37 В</w:t>
      </w:r>
    </w:p>
    <w:p w14:paraId="01E8029C">
      <w:pPr>
        <w:spacing w:line="360" w:lineRule="auto"/>
        <w:jc w:val="both"/>
        <w:rPr>
          <w:sz w:val="28"/>
          <w:szCs w:val="28"/>
          <w:lang w:val="en-US"/>
        </w:rPr>
      </w:pPr>
      <w:r>
        <w:rPr>
          <w:sz w:val="28"/>
          <w:szCs w:val="28"/>
          <w:lang w:val="en-US"/>
        </w:rPr>
        <w:t>[Ni(NH</w:t>
      </w:r>
      <w:r>
        <w:rPr>
          <w:sz w:val="28"/>
          <w:szCs w:val="28"/>
          <w:vertAlign w:val="subscript"/>
          <w:lang w:val="en-US"/>
        </w:rPr>
        <w:t>3</w:t>
      </w:r>
      <w:r>
        <w:rPr>
          <w:sz w:val="28"/>
          <w:szCs w:val="28"/>
          <w:lang w:val="en-US"/>
        </w:rPr>
        <w:t>)</w:t>
      </w:r>
      <w:r>
        <w:rPr>
          <w:sz w:val="28"/>
          <w:szCs w:val="28"/>
          <w:vertAlign w:val="subscript"/>
          <w:lang w:val="en-US"/>
        </w:rPr>
        <w:t>6</w:t>
      </w:r>
      <w:r>
        <w:rPr>
          <w:sz w:val="28"/>
          <w:szCs w:val="28"/>
          <w:lang w:val="en-US"/>
        </w:rPr>
        <w:t>]</w:t>
      </w:r>
      <w:r>
        <w:rPr>
          <w:sz w:val="28"/>
          <w:szCs w:val="28"/>
          <w:vertAlign w:val="superscript"/>
          <w:lang w:val="en-US"/>
        </w:rPr>
        <w:t>2+</w:t>
      </w:r>
      <w:r>
        <w:rPr>
          <w:sz w:val="28"/>
          <w:szCs w:val="28"/>
          <w:lang w:val="en-US"/>
        </w:rPr>
        <w:t xml:space="preserve"> + 2e</w:t>
      </w:r>
      <w:r>
        <w:rPr>
          <w:sz w:val="28"/>
          <w:szCs w:val="28"/>
          <w:vertAlign w:val="superscript"/>
          <w:lang w:val="en-US"/>
        </w:rPr>
        <w:t>-</w:t>
      </w:r>
      <w:r>
        <w:rPr>
          <w:sz w:val="28"/>
          <w:szCs w:val="28"/>
          <w:lang w:val="en-US"/>
        </w:rPr>
        <w:t xml:space="preserve"> = Ni +6NH</w:t>
      </w:r>
      <w:r>
        <w:rPr>
          <w:sz w:val="28"/>
          <w:szCs w:val="28"/>
          <w:vertAlign w:val="subscript"/>
          <w:lang w:val="en-US"/>
        </w:rPr>
        <w:t>3</w:t>
      </w:r>
      <w:r>
        <w:rPr>
          <w:sz w:val="28"/>
          <w:szCs w:val="28"/>
          <w:lang w:val="en-US"/>
        </w:rPr>
        <w:t xml:space="preserve"> </w:t>
      </w:r>
      <w:r>
        <w:rPr>
          <w:sz w:val="28"/>
          <w:szCs w:val="28"/>
          <w:lang w:val="en-US"/>
        </w:rPr>
        <w:tab/>
      </w:r>
      <w:r>
        <w:rPr>
          <w:sz w:val="28"/>
          <w:szCs w:val="28"/>
          <w:lang w:val="en-US"/>
        </w:rPr>
        <w:tab/>
      </w:r>
      <w:r>
        <w:rPr>
          <w:sz w:val="28"/>
          <w:szCs w:val="28"/>
          <w:lang w:val="en-US"/>
        </w:rPr>
        <w:t>E</w:t>
      </w:r>
      <w:r>
        <w:rPr>
          <w:sz w:val="28"/>
          <w:szCs w:val="28"/>
          <w:vertAlign w:val="subscript"/>
          <w:lang w:val="en-US"/>
        </w:rPr>
        <w:t>0</w:t>
      </w:r>
      <w:r>
        <w:rPr>
          <w:sz w:val="28"/>
          <w:szCs w:val="28"/>
          <w:lang w:val="en-US"/>
        </w:rPr>
        <w:t xml:space="preserve"> = -0.476 </w:t>
      </w:r>
      <w:r>
        <w:rPr>
          <w:sz w:val="28"/>
          <w:szCs w:val="28"/>
        </w:rPr>
        <w:t>В</w:t>
      </w:r>
      <w:r>
        <w:rPr>
          <w:sz w:val="28"/>
          <w:szCs w:val="28"/>
          <w:lang w:val="en-US"/>
        </w:rPr>
        <w:t>.</w:t>
      </w:r>
    </w:p>
    <w:p w14:paraId="0EAA4461">
      <w:pPr>
        <w:spacing w:line="360" w:lineRule="auto"/>
        <w:ind w:firstLine="709"/>
        <w:jc w:val="both"/>
        <w:rPr>
          <w:rStyle w:val="8"/>
          <w:b w:val="0"/>
          <w:bCs w:val="0"/>
          <w:sz w:val="28"/>
          <w:szCs w:val="28"/>
        </w:rPr>
      </w:pPr>
      <w:r>
        <w:rPr>
          <w:sz w:val="28"/>
          <w:szCs w:val="28"/>
        </w:rPr>
        <w:t xml:space="preserve">Кроме того, лиганды предотвращают образование гидроксидов металлов в щелочных средах. На </w:t>
      </w:r>
      <w:r>
        <w:rPr>
          <w:color w:val="000000" w:themeColor="text1"/>
          <w:sz w:val="28"/>
          <w:szCs w:val="28"/>
          <w14:textFill>
            <w14:solidFill>
              <w14:schemeClr w14:val="tx1"/>
            </w14:solidFill>
          </w14:textFill>
        </w:rPr>
        <w:t>рис</w:t>
      </w:r>
      <w:r>
        <w:rPr>
          <w:sz w:val="28"/>
          <w:szCs w:val="28"/>
        </w:rPr>
        <w:t xml:space="preserve">. 2 представлена диаграмма Пурбе, иллюстрирующая влияние </w:t>
      </w:r>
      <w:r>
        <w:rPr>
          <w:sz w:val="28"/>
          <w:szCs w:val="28"/>
          <w:lang w:val="en-US"/>
        </w:rPr>
        <w:t>pH</w:t>
      </w:r>
      <w:r>
        <w:rPr>
          <w:sz w:val="28"/>
          <w:szCs w:val="28"/>
        </w:rPr>
        <w:t xml:space="preserve"> и природы лиганда на процесс восстановления никеля. Чем выше значение </w:t>
      </w:r>
      <w:r>
        <w:rPr>
          <w:sz w:val="28"/>
          <w:szCs w:val="28"/>
          <w:lang w:val="en-US"/>
        </w:rPr>
        <w:t>pH</w:t>
      </w:r>
      <w:r>
        <w:rPr>
          <w:sz w:val="28"/>
          <w:szCs w:val="28"/>
        </w:rPr>
        <w:t xml:space="preserve">, тем более отрицательна величина потенциала окисления восстановителя </w:t>
      </w:r>
      <w:r>
        <w:rPr>
          <w:color w:val="000000" w:themeColor="text1"/>
          <w:sz w:val="28"/>
          <w:szCs w:val="28"/>
          <w14:textFill>
            <w14:solidFill>
              <w14:schemeClr w14:val="tx1"/>
            </w14:solidFill>
          </w14:textFill>
        </w:rPr>
        <w:t xml:space="preserve">[10]. </w:t>
      </w:r>
    </w:p>
    <w:p w14:paraId="73B6F630">
      <w:pPr>
        <w:rPr>
          <w:rStyle w:val="8"/>
          <w:b w:val="0"/>
        </w:rPr>
      </w:pPr>
      <w:r>
        <w:rPr>
          <w:color w:val="FF0000"/>
        </w:rPr>
        <mc:AlternateContent>
          <mc:Choice Requires="wps">
            <w:drawing>
              <wp:anchor distT="0" distB="2540" distL="114300" distR="114300" simplePos="0" relativeHeight="251660288" behindDoc="0" locked="0" layoutInCell="0" allowOverlap="1">
                <wp:simplePos x="0" y="0"/>
                <wp:positionH relativeFrom="column">
                  <wp:posOffset>-42545</wp:posOffset>
                </wp:positionH>
                <wp:positionV relativeFrom="paragraph">
                  <wp:posOffset>2082165</wp:posOffset>
                </wp:positionV>
                <wp:extent cx="6299200" cy="575310"/>
                <wp:effectExtent l="0" t="0" r="6350" b="0"/>
                <wp:wrapSquare wrapText="bothSides"/>
                <wp:docPr id="3" name="Поле 4"/>
                <wp:cNvGraphicFramePr/>
                <a:graphic xmlns:a="http://schemas.openxmlformats.org/drawingml/2006/main">
                  <a:graphicData uri="http://schemas.microsoft.com/office/word/2010/wordprocessingShape">
                    <wps:wsp>
                      <wps:cNvSpPr/>
                      <wps:spPr>
                        <a:xfrm>
                          <a:off x="0" y="0"/>
                          <a:ext cx="6299200" cy="57531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73C41A3D">
                            <w:pPr>
                              <w:pStyle w:val="35"/>
                              <w:jc w:val="both"/>
                              <w:rPr>
                                <w:rFonts w:ascii="Times New Roman" w:hAnsi="Times New Roman" w:cs="Times New Roman"/>
                                <w:b w:val="0"/>
                                <w:color w:val="000000" w:themeColor="text1"/>
                                <w:sz w:val="44"/>
                                <w14:textFill>
                                  <w14:solidFill>
                                    <w14:schemeClr w14:val="tx1"/>
                                  </w14:solidFill>
                                </w14:textFill>
                              </w:rPr>
                            </w:pPr>
                            <w:r>
                              <w:rPr>
                                <w:rFonts w:ascii="Times New Roman" w:hAnsi="Times New Roman" w:cs="Times New Roman"/>
                                <w:b w:val="0"/>
                                <w:i/>
                                <w:color w:val="000000" w:themeColor="text1"/>
                                <w:sz w:val="28"/>
                                <w14:textFill>
                                  <w14:solidFill>
                                    <w14:schemeClr w14:val="tx1"/>
                                  </w14:solidFill>
                                </w14:textFill>
                              </w:rPr>
                              <w:t>Рисунок 2</w:t>
                            </w:r>
                            <w:r>
                              <w:rPr>
                                <w:rFonts w:ascii="Times New Roman" w:hAnsi="Times New Roman" w:cs="Times New Roman"/>
                                <w:b w:val="0"/>
                                <w:color w:val="000000" w:themeColor="text1"/>
                                <w:sz w:val="28"/>
                                <w14:textFill>
                                  <w14:solidFill>
                                    <w14:schemeClr w14:val="tx1"/>
                                  </w14:solidFill>
                                </w14:textFill>
                              </w:rPr>
                              <w:t xml:space="preserve">. Зависимость потенциала от величины </w:t>
                            </w:r>
                            <w:r>
                              <w:rPr>
                                <w:rFonts w:ascii="Times New Roman" w:hAnsi="Times New Roman" w:cs="Times New Roman"/>
                                <w:b w:val="0"/>
                                <w:color w:val="000000" w:themeColor="text1"/>
                                <w:sz w:val="28"/>
                                <w:lang w:val="en-US"/>
                                <w14:textFill>
                                  <w14:solidFill>
                                    <w14:schemeClr w14:val="tx1"/>
                                  </w14:solidFill>
                                </w14:textFill>
                              </w:rPr>
                              <w:t>pH</w:t>
                            </w:r>
                            <w:r>
                              <w:rPr>
                                <w:rFonts w:ascii="Times New Roman" w:hAnsi="Times New Roman" w:cs="Times New Roman"/>
                                <w:b w:val="0"/>
                                <w:color w:val="000000" w:themeColor="text1"/>
                                <w:sz w:val="28"/>
                                <w14:textFill>
                                  <w14:solidFill>
                                    <w14:schemeClr w14:val="tx1"/>
                                  </w14:solidFill>
                                </w14:textFill>
                              </w:rPr>
                              <w:t xml:space="preserve"> для никеля в присутствии лигандов.</w:t>
                            </w:r>
                          </w:p>
                        </w:txbxContent>
                      </wps:txbx>
                      <wps:bodyPr wrap="square" lIns="0" tIns="0" rIns="0" bIns="0" anchor="t">
                        <a:noAutofit/>
                      </wps:bodyPr>
                    </wps:wsp>
                  </a:graphicData>
                </a:graphic>
              </wp:anchor>
            </w:drawing>
          </mc:Choice>
          <mc:Fallback>
            <w:pict>
              <v:rect id="Поле 4" o:spid="_x0000_s1026" o:spt="1" style="position:absolute;left:0pt;margin-left:-3.35pt;margin-top:163.95pt;height:45.3pt;width:496pt;mso-wrap-distance-bottom:0.2pt;mso-wrap-distance-left:9pt;mso-wrap-distance-right:9pt;mso-wrap-distance-top:0pt;z-index:251660288;mso-width-relative:page;mso-height-relative:page;" fillcolor="#FFFFFF" filled="t" stroked="f" coordsize="21600,21600" o:allowincell="f" o:gfxdata="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5pfPLNsAAAAK&#10;AQAADwAAAAAAAAABACAAAAAiAAAAZHJzL2Rvd25yZXYueG1sUEsBAhQAFAAAAAgAh07iQMj6aHXg&#10;AQAAvQMAAA4AAAAAAAAAAQAgAAAAKgEAAGRycy9lMm9Eb2MueG1sUEsFBgAAAAAGAAYAWQEAAHwF&#10;AAAAAA==&#10;">
                <v:fill on="t" focussize="0,0"/>
                <v:stroke on="f" weight="0pt"/>
                <v:imagedata o:title=""/>
                <o:lock v:ext="edit" aspectratio="f"/>
                <v:textbox inset="0mm,0mm,0mm,0mm">
                  <w:txbxContent>
                    <w:p w14:paraId="73C41A3D">
                      <w:pPr>
                        <w:pStyle w:val="35"/>
                        <w:jc w:val="both"/>
                        <w:rPr>
                          <w:rFonts w:ascii="Times New Roman" w:hAnsi="Times New Roman" w:cs="Times New Roman"/>
                          <w:b w:val="0"/>
                          <w:color w:val="000000" w:themeColor="text1"/>
                          <w:sz w:val="44"/>
                          <w14:textFill>
                            <w14:solidFill>
                              <w14:schemeClr w14:val="tx1"/>
                            </w14:solidFill>
                          </w14:textFill>
                        </w:rPr>
                      </w:pPr>
                      <w:r>
                        <w:rPr>
                          <w:rFonts w:ascii="Times New Roman" w:hAnsi="Times New Roman" w:cs="Times New Roman"/>
                          <w:b w:val="0"/>
                          <w:i/>
                          <w:color w:val="000000" w:themeColor="text1"/>
                          <w:sz w:val="28"/>
                          <w14:textFill>
                            <w14:solidFill>
                              <w14:schemeClr w14:val="tx1"/>
                            </w14:solidFill>
                          </w14:textFill>
                        </w:rPr>
                        <w:t>Рисунок 2</w:t>
                      </w:r>
                      <w:r>
                        <w:rPr>
                          <w:rFonts w:ascii="Times New Roman" w:hAnsi="Times New Roman" w:cs="Times New Roman"/>
                          <w:b w:val="0"/>
                          <w:color w:val="000000" w:themeColor="text1"/>
                          <w:sz w:val="28"/>
                          <w14:textFill>
                            <w14:solidFill>
                              <w14:schemeClr w14:val="tx1"/>
                            </w14:solidFill>
                          </w14:textFill>
                        </w:rPr>
                        <w:t xml:space="preserve">. Зависимость потенциала от величины </w:t>
                      </w:r>
                      <w:r>
                        <w:rPr>
                          <w:rFonts w:ascii="Times New Roman" w:hAnsi="Times New Roman" w:cs="Times New Roman"/>
                          <w:b w:val="0"/>
                          <w:color w:val="000000" w:themeColor="text1"/>
                          <w:sz w:val="28"/>
                          <w:lang w:val="en-US"/>
                          <w14:textFill>
                            <w14:solidFill>
                              <w14:schemeClr w14:val="tx1"/>
                            </w14:solidFill>
                          </w14:textFill>
                        </w:rPr>
                        <w:t>pH</w:t>
                      </w:r>
                      <w:r>
                        <w:rPr>
                          <w:rFonts w:ascii="Times New Roman" w:hAnsi="Times New Roman" w:cs="Times New Roman"/>
                          <w:b w:val="0"/>
                          <w:color w:val="000000" w:themeColor="text1"/>
                          <w:sz w:val="28"/>
                          <w14:textFill>
                            <w14:solidFill>
                              <w14:schemeClr w14:val="tx1"/>
                            </w14:solidFill>
                          </w14:textFill>
                        </w:rPr>
                        <w:t xml:space="preserve"> для никеля в присутствии лигандов.</w:t>
                      </w:r>
                    </w:p>
                  </w:txbxContent>
                </v:textbox>
                <w10:wrap type="square"/>
              </v:rect>
            </w:pict>
          </mc:Fallback>
        </mc:AlternateContent>
      </w:r>
      <w:r>
        <w:rPr>
          <w:color w:val="FF0000"/>
        </w:rPr>
        <w:drawing>
          <wp:anchor distT="0" distB="0" distL="114300" distR="114300" simplePos="0" relativeHeight="251659264" behindDoc="0" locked="0" layoutInCell="0" allowOverlap="1">
            <wp:simplePos x="0" y="0"/>
            <wp:positionH relativeFrom="column">
              <wp:posOffset>1743710</wp:posOffset>
            </wp:positionH>
            <wp:positionV relativeFrom="paragraph">
              <wp:posOffset>-238125</wp:posOffset>
            </wp:positionV>
            <wp:extent cx="2193290" cy="2302510"/>
            <wp:effectExtent l="0" t="0" r="0" b="254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8"/>
                    <a:srcRect l="36573" t="23487" r="31154" b="20203"/>
                    <a:stretch>
                      <a:fillRect/>
                    </a:stretch>
                  </pic:blipFill>
                  <pic:spPr>
                    <a:xfrm>
                      <a:off x="0" y="0"/>
                      <a:ext cx="2193290" cy="2302510"/>
                    </a:xfrm>
                    <a:prstGeom prst="rect">
                      <a:avLst/>
                    </a:prstGeom>
                  </pic:spPr>
                </pic:pic>
              </a:graphicData>
            </a:graphic>
          </wp:anchor>
        </w:drawing>
      </w:r>
    </w:p>
    <w:p w14:paraId="3A75631B">
      <w:pPr>
        <w:pStyle w:val="3"/>
        <w:rPr>
          <w:rStyle w:val="8"/>
          <w:rFonts w:cs="Times New Roman"/>
          <w:b/>
          <w:bCs/>
          <w:sz w:val="28"/>
          <w:szCs w:val="28"/>
        </w:rPr>
      </w:pPr>
      <w:bookmarkStart w:id="3" w:name="_Toc167999794"/>
      <w:r>
        <w:rPr>
          <w:rStyle w:val="8"/>
          <w:rFonts w:cs="Times New Roman"/>
          <w:b/>
          <w:bCs/>
          <w:sz w:val="28"/>
          <w:szCs w:val="28"/>
        </w:rPr>
        <w:t>2.2 Особенности электрохимического осаждения  Ni и Cr из растворов</w:t>
      </w:r>
      <w:bookmarkEnd w:id="3"/>
      <w:r>
        <w:rPr>
          <w:rStyle w:val="8"/>
          <w:rFonts w:cs="Times New Roman"/>
          <w:b/>
          <w:bCs/>
          <w:sz w:val="28"/>
          <w:szCs w:val="28"/>
        </w:rPr>
        <w:tab/>
      </w:r>
    </w:p>
    <w:p w14:paraId="55748AE5">
      <w:pPr>
        <w:spacing w:before="120" w:line="360" w:lineRule="auto"/>
        <w:ind w:firstLine="709"/>
        <w:jc w:val="both"/>
        <w:rPr>
          <w:sz w:val="28"/>
          <w:szCs w:val="28"/>
        </w:rPr>
      </w:pPr>
      <w:r>
        <w:rPr>
          <w:sz w:val="28"/>
          <w:szCs w:val="28"/>
        </w:rPr>
        <w:t xml:space="preserve">Покрытия на основе никеля являются одними из привлекательных и полезных покрытий, которые имеют несколько декоративных, автомобильных и защитных применений. Ni часто сплавляют с определенными элементами, чтобы улучшить его внешний вид, механические и электрохимические свойства. С другой стороны, хромовые покрытия обладают значительной коррозионной и износостойкостью, высокой твердостью и блеском </w:t>
      </w:r>
      <w:r>
        <w:rPr>
          <w:color w:val="000000" w:themeColor="text1"/>
          <w:sz w:val="28"/>
          <w:szCs w:val="28"/>
          <w14:textFill>
            <w14:solidFill>
              <w14:schemeClr w14:val="tx1"/>
            </w14:solidFill>
          </w14:textFill>
        </w:rPr>
        <w:t xml:space="preserve">[11–13]. </w:t>
      </w:r>
      <w:r>
        <w:rPr>
          <w:sz w:val="28"/>
          <w:szCs w:val="28"/>
        </w:rPr>
        <w:t xml:space="preserve">Концепция использования обоих элементов мотивировала создание относительно стабильной Ni-Cr пленки </w:t>
      </w:r>
      <w:r>
        <w:rPr>
          <w:color w:val="000000" w:themeColor="text1"/>
          <w:sz w:val="28"/>
          <w:szCs w:val="28"/>
          <w14:textFill>
            <w14:solidFill>
              <w14:schemeClr w14:val="tx1"/>
            </w14:solidFill>
          </w14:textFill>
        </w:rPr>
        <w:t xml:space="preserve">[14–17]. </w:t>
      </w:r>
      <w:r>
        <w:rPr>
          <w:sz w:val="28"/>
          <w:szCs w:val="28"/>
        </w:rPr>
        <w:t>Сообщалось, что устойчивая пассивная пленка с плотным оксидом Cr может быть получена, когда сплав содержит более 11 мас.% Cr [18]. Тем не менее, массовая доля хрома в двухкомпонентном гальваническом покрытии, как правило, невелика из-за низкого катодного тока эффективности гальванического покрытия из хрома. Стандартный восстановительный потенциал Cr</w:t>
      </w:r>
      <w:r>
        <w:rPr>
          <w:sz w:val="28"/>
          <w:szCs w:val="28"/>
          <w:vertAlign w:val="superscript"/>
        </w:rPr>
        <w:t>3+</w:t>
      </w:r>
      <w:r>
        <w:rPr>
          <w:sz w:val="28"/>
          <w:szCs w:val="28"/>
        </w:rPr>
        <w:t xml:space="preserve"> до металлического Cr (E</w:t>
      </w:r>
      <w:r>
        <w:rPr>
          <w:sz w:val="28"/>
          <w:szCs w:val="28"/>
          <w:vertAlign w:val="superscript"/>
        </w:rPr>
        <w:t>0</w:t>
      </w:r>
      <w:r>
        <w:rPr>
          <w:sz w:val="28"/>
          <w:szCs w:val="28"/>
        </w:rPr>
        <w:t xml:space="preserve"> = −0,74 В по отношению к SHE) более отрицателен, чем потенциал восстановления гидроксония (E</w:t>
      </w:r>
      <w:r>
        <w:rPr>
          <w:sz w:val="28"/>
          <w:szCs w:val="28"/>
          <w:vertAlign w:val="superscript"/>
        </w:rPr>
        <w:t>0</w:t>
      </w:r>
      <w:r>
        <w:rPr>
          <w:sz w:val="28"/>
          <w:szCs w:val="28"/>
        </w:rPr>
        <w:t xml:space="preserve"> = −0,12 В против SHE при pH = 2), т.е. электроосаждение Cr сопровождается интенсивным выделением водорода, что значительно снижает эффективность фарадеевского тока [17,18]. Кроме того, реакция выделения водорода (HER) приводит к образованию трещин в растущей пленке, которая подвержена сильным атакам проникновения анионов.</w:t>
      </w:r>
    </w:p>
    <w:p w14:paraId="5C28DB46">
      <w:pPr>
        <w:spacing w:before="120" w:line="360" w:lineRule="auto"/>
        <w:ind w:firstLine="709"/>
        <w:jc w:val="both"/>
        <w:rPr>
          <w:sz w:val="28"/>
          <w:szCs w:val="28"/>
        </w:rPr>
      </w:pPr>
      <w:r>
        <w:rPr>
          <w:sz w:val="28"/>
          <w:szCs w:val="28"/>
        </w:rPr>
        <w:t>Однако островоподобные структуры могут быть обусловлены нежелательным образованием гидроксида на поверхности наряду с совместным восстановлением Ni</w:t>
      </w:r>
      <w:r>
        <w:rPr>
          <w:sz w:val="28"/>
          <w:szCs w:val="28"/>
          <w:vertAlign w:val="superscript"/>
        </w:rPr>
        <w:t xml:space="preserve">2+ </w:t>
      </w:r>
      <w:r>
        <w:rPr>
          <w:sz w:val="28"/>
          <w:szCs w:val="28"/>
        </w:rPr>
        <w:t>и Cr</w:t>
      </w:r>
      <w:r>
        <w:rPr>
          <w:sz w:val="28"/>
          <w:szCs w:val="28"/>
          <w:vertAlign w:val="superscript"/>
        </w:rPr>
        <w:t>3+</w:t>
      </w:r>
      <w:r>
        <w:rPr>
          <w:sz w:val="28"/>
          <w:szCs w:val="28"/>
        </w:rPr>
        <w:t>. В процессе электроосаждения сольватированные ионы металлов движутся к поверхности катода, где восстанавливаются и осаждаются в виде металла [19]. Однако из-за нежелательной реакции 2H</w:t>
      </w:r>
      <w:r>
        <w:rPr>
          <w:sz w:val="28"/>
          <w:szCs w:val="28"/>
          <w:vertAlign w:val="subscript"/>
        </w:rPr>
        <w:t>2</w:t>
      </w:r>
      <w:r>
        <w:rPr>
          <w:sz w:val="28"/>
          <w:szCs w:val="28"/>
        </w:rPr>
        <w:t>O + 2e</w:t>
      </w:r>
      <w:r>
        <w:rPr>
          <w:sz w:val="28"/>
          <w:szCs w:val="28"/>
          <w:vertAlign w:val="superscript"/>
        </w:rPr>
        <w:t>-</w:t>
      </w:r>
      <w:r>
        <w:rPr>
          <w:sz w:val="28"/>
          <w:szCs w:val="28"/>
        </w:rPr>
        <w:t xml:space="preserve"> = 2OH</w:t>
      </w:r>
      <w:r>
        <w:rPr>
          <w:sz w:val="28"/>
          <w:szCs w:val="28"/>
          <w:vertAlign w:val="superscript"/>
        </w:rPr>
        <w:t>-</w:t>
      </w:r>
      <w:r>
        <w:rPr>
          <w:sz w:val="28"/>
          <w:szCs w:val="28"/>
        </w:rPr>
        <w:t xml:space="preserve"> + 2H</w:t>
      </w:r>
      <w:r>
        <w:rPr>
          <w:sz w:val="28"/>
          <w:szCs w:val="28"/>
          <w:vertAlign w:val="subscript"/>
        </w:rPr>
        <w:t>2</w:t>
      </w:r>
      <w:r>
        <w:rPr>
          <w:sz w:val="28"/>
          <w:szCs w:val="28"/>
        </w:rPr>
        <w:t xml:space="preserve"> на поверхности катода рН электролита увеличивается в электрическом двойном слое. При повышении рН вблизи поверхности катода, восстановленные ионы металлов вступают в реакцию с гидроксильными ионами с образованием гидроксидов металлов [20]. Эти гидроксиды металлов отделяются от поверхности и оседают в виде шлама.</w:t>
      </w:r>
    </w:p>
    <w:p w14:paraId="7BE10ACA">
      <w:pPr>
        <w:spacing w:before="120" w:line="360" w:lineRule="auto"/>
        <w:ind w:firstLine="709"/>
        <w:jc w:val="both"/>
        <w:rPr>
          <w:sz w:val="28"/>
          <w:szCs w:val="28"/>
        </w:rPr>
      </w:pPr>
      <w:r>
        <w:rPr>
          <w:sz w:val="28"/>
          <w:szCs w:val="28"/>
        </w:rPr>
        <w:t>Восстановление хрома из водного раствора Cr(III) в основном зависит от сложной кинетики реакции. Cr</w:t>
      </w:r>
      <w:r>
        <w:rPr>
          <w:sz w:val="28"/>
          <w:szCs w:val="28"/>
          <w:vertAlign w:val="superscript"/>
        </w:rPr>
        <w:t>3+</w:t>
      </w:r>
      <w:r>
        <w:rPr>
          <w:sz w:val="28"/>
          <w:szCs w:val="28"/>
        </w:rPr>
        <w:t xml:space="preserve"> в водной среде образует ион [Cr(H</w:t>
      </w:r>
      <w:r>
        <w:rPr>
          <w:sz w:val="28"/>
          <w:szCs w:val="28"/>
          <w:vertAlign w:val="subscript"/>
        </w:rPr>
        <w:t>2</w:t>
      </w:r>
      <w:r>
        <w:rPr>
          <w:sz w:val="28"/>
          <w:szCs w:val="28"/>
        </w:rPr>
        <w:t>O)</w:t>
      </w:r>
      <w:r>
        <w:rPr>
          <w:sz w:val="28"/>
          <w:szCs w:val="28"/>
          <w:vertAlign w:val="subscript"/>
        </w:rPr>
        <w:t>6</w:t>
      </w:r>
      <w:r>
        <w:rPr>
          <w:sz w:val="28"/>
          <w:szCs w:val="28"/>
        </w:rPr>
        <w:t>]</w:t>
      </w:r>
      <w:r>
        <w:rPr>
          <w:sz w:val="28"/>
          <w:szCs w:val="28"/>
          <w:vertAlign w:val="superscript"/>
        </w:rPr>
        <w:t>3+</w:t>
      </w:r>
      <w:r>
        <w:rPr>
          <w:sz w:val="28"/>
          <w:szCs w:val="28"/>
        </w:rPr>
        <w:t>, который кинетически препятствует электровосстановлению Cr</w:t>
      </w:r>
      <w:r>
        <w:rPr>
          <w:sz w:val="28"/>
          <w:szCs w:val="28"/>
          <w:vertAlign w:val="superscript"/>
        </w:rPr>
        <w:t>3+</w:t>
      </w:r>
      <w:r>
        <w:rPr>
          <w:sz w:val="28"/>
          <w:szCs w:val="28"/>
        </w:rPr>
        <w:t xml:space="preserve"> до Cr</w:t>
      </w:r>
      <w:r>
        <w:rPr>
          <w:sz w:val="28"/>
          <w:szCs w:val="28"/>
          <w:vertAlign w:val="superscript"/>
        </w:rPr>
        <w:t>0</w:t>
      </w:r>
      <w:r>
        <w:rPr>
          <w:sz w:val="28"/>
          <w:szCs w:val="28"/>
        </w:rPr>
        <w:t xml:space="preserve"> . В растворе хлорида хрома ионы комплекса существуют в форме [Cr(H</w:t>
      </w:r>
      <w:r>
        <w:rPr>
          <w:sz w:val="28"/>
          <w:szCs w:val="28"/>
          <w:vertAlign w:val="subscript"/>
        </w:rPr>
        <w:t>2</w:t>
      </w:r>
      <w:r>
        <w:rPr>
          <w:sz w:val="28"/>
          <w:szCs w:val="28"/>
        </w:rPr>
        <w:t>O)</w:t>
      </w:r>
      <w:r>
        <w:rPr>
          <w:sz w:val="28"/>
          <w:szCs w:val="28"/>
          <w:vertAlign w:val="subscript"/>
        </w:rPr>
        <w:t>5</w:t>
      </w:r>
      <w:r>
        <w:rPr>
          <w:sz w:val="28"/>
          <w:szCs w:val="28"/>
        </w:rPr>
        <w:t>Cl]</w:t>
      </w:r>
      <w:r>
        <w:rPr>
          <w:sz w:val="28"/>
          <w:szCs w:val="28"/>
          <w:vertAlign w:val="superscript"/>
        </w:rPr>
        <w:t>2+</w:t>
      </w:r>
      <w:r>
        <w:rPr>
          <w:sz w:val="28"/>
          <w:szCs w:val="28"/>
        </w:rPr>
        <w:t>, тогда как в растворе, содержащем муравьиную кислоту в качестве комплексообразователя, ионы [Cr(H</w:t>
      </w:r>
      <w:r>
        <w:rPr>
          <w:sz w:val="28"/>
          <w:szCs w:val="28"/>
          <w:vertAlign w:val="subscript"/>
        </w:rPr>
        <w:t>2</w:t>
      </w:r>
      <w:r>
        <w:rPr>
          <w:sz w:val="28"/>
          <w:szCs w:val="28"/>
        </w:rPr>
        <w:t>O)</w:t>
      </w:r>
      <w:r>
        <w:rPr>
          <w:sz w:val="28"/>
          <w:szCs w:val="28"/>
          <w:vertAlign w:val="subscript"/>
        </w:rPr>
        <w:t>5</w:t>
      </w:r>
      <w:r>
        <w:rPr>
          <w:sz w:val="28"/>
          <w:szCs w:val="28"/>
        </w:rPr>
        <w:t>Cl]</w:t>
      </w:r>
      <w:r>
        <w:rPr>
          <w:sz w:val="28"/>
          <w:szCs w:val="28"/>
          <w:vertAlign w:val="superscript"/>
        </w:rPr>
        <w:t>2+</w:t>
      </w:r>
      <w:r>
        <w:rPr>
          <w:sz w:val="28"/>
          <w:szCs w:val="28"/>
        </w:rPr>
        <w:t xml:space="preserve"> превращаются в [Cr(H</w:t>
      </w:r>
      <w:r>
        <w:rPr>
          <w:sz w:val="28"/>
          <w:szCs w:val="28"/>
          <w:vertAlign w:val="subscript"/>
        </w:rPr>
        <w:t>2</w:t>
      </w:r>
      <w:r>
        <w:rPr>
          <w:sz w:val="28"/>
          <w:szCs w:val="28"/>
        </w:rPr>
        <w:t>O)</w:t>
      </w:r>
      <w:r>
        <w:rPr>
          <w:sz w:val="28"/>
          <w:szCs w:val="28"/>
          <w:vertAlign w:val="subscript"/>
        </w:rPr>
        <w:t>5</w:t>
      </w:r>
      <w:r>
        <w:rPr>
          <w:sz w:val="28"/>
          <w:szCs w:val="28"/>
        </w:rPr>
        <w:t>(COOH)]</w:t>
      </w:r>
      <w:r>
        <w:rPr>
          <w:sz w:val="28"/>
          <w:szCs w:val="28"/>
          <w:vertAlign w:val="superscript"/>
        </w:rPr>
        <w:t>2+</w:t>
      </w:r>
      <w:r>
        <w:rPr>
          <w:sz w:val="28"/>
          <w:szCs w:val="28"/>
        </w:rPr>
        <w:t>, как показано в реакции (a).</w:t>
      </w:r>
    </w:p>
    <w:p w14:paraId="26EC6163">
      <w:pPr>
        <w:spacing w:before="120" w:line="360" w:lineRule="auto"/>
        <w:ind w:firstLine="709"/>
        <w:jc w:val="both"/>
        <w:rPr>
          <w:sz w:val="28"/>
          <w:szCs w:val="28"/>
        </w:rPr>
      </w:pPr>
      <w:r>
        <w:drawing>
          <wp:inline distT="0" distB="0" distL="0" distR="0">
            <wp:extent cx="3790315" cy="1530985"/>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noChangeArrowheads="1"/>
                    </pic:cNvPicPr>
                  </pic:nvPicPr>
                  <pic:blipFill>
                    <a:blip r:embed="rId9"/>
                    <a:stretch>
                      <a:fillRect/>
                    </a:stretch>
                  </pic:blipFill>
                  <pic:spPr>
                    <a:xfrm>
                      <a:off x="0" y="0"/>
                      <a:ext cx="3790315" cy="1530985"/>
                    </a:xfrm>
                    <a:prstGeom prst="rect">
                      <a:avLst/>
                    </a:prstGeom>
                  </pic:spPr>
                </pic:pic>
              </a:graphicData>
            </a:graphic>
          </wp:inline>
        </w:drawing>
      </w:r>
    </w:p>
    <w:p w14:paraId="13BA6147">
      <w:pPr>
        <w:spacing w:before="120" w:line="360" w:lineRule="auto"/>
        <w:ind w:firstLine="709"/>
        <w:jc w:val="both"/>
        <w:rPr>
          <w:sz w:val="28"/>
          <w:szCs w:val="28"/>
        </w:rPr>
      </w:pPr>
      <w:r>
        <w:rPr>
          <w:sz w:val="28"/>
          <w:szCs w:val="28"/>
        </w:rPr>
        <w:t>Таким образом, Cr-содержащие формиатные комплексы Cr</w:t>
      </w:r>
      <w:r>
        <w:rPr>
          <w:sz w:val="28"/>
          <w:szCs w:val="28"/>
          <w:vertAlign w:val="superscript"/>
        </w:rPr>
        <w:t>+3</w:t>
      </w:r>
      <w:r>
        <w:rPr>
          <w:sz w:val="28"/>
          <w:szCs w:val="28"/>
        </w:rPr>
        <w:t xml:space="preserve"> восстанавливаются по реакциям (b) и (c) </w:t>
      </w:r>
    </w:p>
    <w:p w14:paraId="20F13DF7">
      <w:pPr>
        <w:spacing w:before="120" w:line="360" w:lineRule="auto"/>
        <w:ind w:firstLine="709"/>
        <w:jc w:val="both"/>
        <w:rPr>
          <w:sz w:val="28"/>
          <w:szCs w:val="28"/>
          <w:lang w:val="en-US"/>
        </w:rPr>
      </w:pPr>
      <w:r>
        <w:rPr>
          <w:sz w:val="28"/>
          <w:szCs w:val="28"/>
        </w:rPr>
        <w:t>Кинетика реакции (c) протекает медленнее, чем реакция (b), что приводит к накоплению [Cr(H</w:t>
      </w:r>
      <w:r>
        <w:rPr>
          <w:sz w:val="28"/>
          <w:szCs w:val="28"/>
          <w:vertAlign w:val="subscript"/>
        </w:rPr>
        <w:t>2</w:t>
      </w:r>
      <w:r>
        <w:rPr>
          <w:sz w:val="28"/>
          <w:szCs w:val="28"/>
        </w:rPr>
        <w:t>O)</w:t>
      </w:r>
      <w:r>
        <w:rPr>
          <w:sz w:val="28"/>
          <w:szCs w:val="28"/>
          <w:vertAlign w:val="subscript"/>
        </w:rPr>
        <w:t>5</w:t>
      </w:r>
      <w:r>
        <w:rPr>
          <w:sz w:val="28"/>
          <w:szCs w:val="28"/>
        </w:rPr>
        <w:t>(COOH)]</w:t>
      </w:r>
      <w:r>
        <w:rPr>
          <w:sz w:val="28"/>
          <w:szCs w:val="28"/>
          <w:vertAlign w:val="superscript"/>
        </w:rPr>
        <w:t>+</w:t>
      </w:r>
      <w:r>
        <w:rPr>
          <w:sz w:val="28"/>
          <w:szCs w:val="28"/>
        </w:rPr>
        <w:t xml:space="preserve"> на поверхности катода при электроосаждении </w:t>
      </w:r>
      <w:r>
        <w:rPr>
          <w:sz w:val="28"/>
          <w:szCs w:val="28"/>
          <w:lang w:val="en-US"/>
        </w:rPr>
        <w:t>[21].</w:t>
      </w:r>
    </w:p>
    <w:p w14:paraId="0BA7AACC">
      <w:pPr>
        <w:spacing w:before="120" w:line="360" w:lineRule="auto"/>
        <w:ind w:firstLine="709"/>
        <w:jc w:val="both"/>
        <w:rPr>
          <w:sz w:val="28"/>
          <w:szCs w:val="28"/>
        </w:rPr>
      </w:pPr>
      <w:r>
        <w:rPr>
          <w:sz w:val="28"/>
          <w:szCs w:val="28"/>
        </w:rPr>
        <w:t>Хромирование (</w:t>
      </w:r>
      <w:r>
        <w:rPr>
          <w:sz w:val="28"/>
          <w:szCs w:val="28"/>
          <w:lang w:val="en-US"/>
        </w:rPr>
        <w:t>Cr</w:t>
      </w:r>
      <w:r>
        <w:rPr>
          <w:sz w:val="28"/>
          <w:szCs w:val="28"/>
        </w:rPr>
        <w:t xml:space="preserve">) является одним из наиболее часто используемых процессов электроосаждения для обеспечения высокой износостойкости и коррозионной стойкости. Однако использование шестивалентного хрома было запрещено или ограничено во многих странах из-за его высокой токсичности и высокой подвижности в почве и водных средах. В последние годы исследования сосредоточены на трехвалентных покрытиях </w:t>
      </w:r>
      <w:r>
        <w:rPr>
          <w:sz w:val="28"/>
          <w:szCs w:val="28"/>
          <w:lang w:val="en-US"/>
        </w:rPr>
        <w:t>Cr</w:t>
      </w:r>
      <w:r>
        <w:rPr>
          <w:sz w:val="28"/>
          <w:szCs w:val="28"/>
        </w:rPr>
        <w:t xml:space="preserve">, которые более экологичны и удобны, несмотря на небольшую разницу в металлическом цвете. Тем не менее, было установлено, что трехвалентные хромовые покрытия сами по себе не обеспечивают таких же хороших коррозионных и износостойких свойств, как твердые хромовые покрытия [22-24]. В последнее время </w:t>
      </w:r>
      <w:r>
        <w:rPr>
          <w:sz w:val="28"/>
          <w:szCs w:val="28"/>
          <w:lang w:val="en-US"/>
        </w:rPr>
        <w:t>Fe</w:t>
      </w:r>
      <w:r>
        <w:rPr>
          <w:sz w:val="28"/>
          <w:szCs w:val="28"/>
        </w:rPr>
        <w:t xml:space="preserve">, </w:t>
      </w:r>
      <w:r>
        <w:rPr>
          <w:sz w:val="28"/>
          <w:szCs w:val="28"/>
          <w:lang w:val="en-US"/>
        </w:rPr>
        <w:t>Ni</w:t>
      </w:r>
      <w:r>
        <w:rPr>
          <w:sz w:val="28"/>
          <w:szCs w:val="28"/>
        </w:rPr>
        <w:t xml:space="preserve">, </w:t>
      </w:r>
      <w:r>
        <w:rPr>
          <w:sz w:val="28"/>
          <w:szCs w:val="28"/>
          <w:lang w:val="en-US"/>
        </w:rPr>
        <w:t>Co</w:t>
      </w:r>
      <w:r>
        <w:rPr>
          <w:sz w:val="28"/>
          <w:szCs w:val="28"/>
        </w:rPr>
        <w:t xml:space="preserve">, </w:t>
      </w:r>
      <w:r>
        <w:rPr>
          <w:sz w:val="28"/>
          <w:szCs w:val="28"/>
          <w:lang w:val="en-US"/>
        </w:rPr>
        <w:t>P</w:t>
      </w:r>
      <w:r>
        <w:rPr>
          <w:sz w:val="28"/>
          <w:szCs w:val="28"/>
        </w:rPr>
        <w:t xml:space="preserve"> и </w:t>
      </w:r>
      <w:r>
        <w:rPr>
          <w:sz w:val="28"/>
          <w:szCs w:val="28"/>
          <w:lang w:val="en-US"/>
        </w:rPr>
        <w:t>C</w:t>
      </w:r>
      <w:r>
        <w:rPr>
          <w:sz w:val="28"/>
          <w:szCs w:val="28"/>
        </w:rPr>
        <w:t xml:space="preserve"> используются в качестве легирующих элементов для улучшения свойств трехвалентных хромовых покрытий. Также изучается использование других элементов [25-28]. Покрытия из сплавов, образованные добавлением никеля к хромированным покрытиям, обладают хорошей коррозионной стойкостью и высокой стойкостью к окислению и предпочтительны из-за их высокой термостойкости [29-31].</w:t>
      </w:r>
    </w:p>
    <w:p w14:paraId="7E1178CF">
      <w:pPr>
        <w:spacing w:before="120" w:line="360" w:lineRule="auto"/>
        <w:ind w:firstLine="709"/>
        <w:jc w:val="both"/>
        <w:rPr>
          <w:sz w:val="28"/>
          <w:szCs w:val="28"/>
        </w:rPr>
      </w:pPr>
      <w:r>
        <w:rPr>
          <w:sz w:val="28"/>
          <w:szCs w:val="28"/>
        </w:rPr>
        <w:t xml:space="preserve">Таким образом, важнейшая причина применения </w:t>
      </w:r>
      <w:r>
        <w:rPr>
          <w:sz w:val="28"/>
          <w:szCs w:val="28"/>
          <w:lang w:val="en-US"/>
        </w:rPr>
        <w:t>Ni</w:t>
      </w:r>
      <w:r>
        <w:rPr>
          <w:sz w:val="28"/>
          <w:szCs w:val="28"/>
        </w:rPr>
        <w:t xml:space="preserve"> и </w:t>
      </w:r>
      <w:r>
        <w:rPr>
          <w:sz w:val="28"/>
          <w:szCs w:val="28"/>
          <w:lang w:val="en-US"/>
        </w:rPr>
        <w:t>Cr</w:t>
      </w:r>
      <w:r>
        <w:rPr>
          <w:sz w:val="28"/>
          <w:szCs w:val="28"/>
        </w:rPr>
        <w:t xml:space="preserve"> сплавов заключается в их уникальной коррозионной стойкости. Однако сплавы </w:t>
      </w:r>
      <w:r>
        <w:rPr>
          <w:sz w:val="28"/>
          <w:szCs w:val="28"/>
          <w:lang w:val="en-US"/>
        </w:rPr>
        <w:t>Ni</w:t>
      </w:r>
      <w:r>
        <w:rPr>
          <w:sz w:val="28"/>
          <w:szCs w:val="28"/>
        </w:rPr>
        <w:t xml:space="preserve"> и </w:t>
      </w:r>
      <w:r>
        <w:rPr>
          <w:sz w:val="28"/>
          <w:szCs w:val="28"/>
          <w:lang w:val="en-US"/>
        </w:rPr>
        <w:t>Cr</w:t>
      </w:r>
      <w:r>
        <w:rPr>
          <w:sz w:val="28"/>
          <w:szCs w:val="28"/>
        </w:rPr>
        <w:t xml:space="preserve"> часто не соответствуют требованиям к стойкости к истиранию, а также к коррозионной стойкости; это привело к разработке композиционных электрохимических покрытий. Композитные покрытия могут быть получены путем добавления различных типов частиц в сплавы </w:t>
      </w:r>
      <w:r>
        <w:rPr>
          <w:sz w:val="28"/>
          <w:szCs w:val="28"/>
          <w:lang w:val="en-US"/>
        </w:rPr>
        <w:t>Ni</w:t>
      </w:r>
      <w:r>
        <w:rPr>
          <w:sz w:val="28"/>
          <w:szCs w:val="28"/>
        </w:rPr>
        <w:t>-</w:t>
      </w:r>
      <w:r>
        <w:rPr>
          <w:sz w:val="28"/>
          <w:szCs w:val="28"/>
          <w:lang w:val="en-US"/>
        </w:rPr>
        <w:t>Cr</w:t>
      </w:r>
      <w:r>
        <w:rPr>
          <w:sz w:val="28"/>
          <w:szCs w:val="28"/>
        </w:rPr>
        <w:t>-</w:t>
      </w:r>
      <w:r>
        <w:rPr>
          <w:sz w:val="28"/>
          <w:szCs w:val="28"/>
          <w:lang w:val="en-US"/>
        </w:rPr>
        <w:t>X</w:t>
      </w:r>
      <w:r>
        <w:rPr>
          <w:sz w:val="28"/>
          <w:szCs w:val="28"/>
        </w:rPr>
        <w:t xml:space="preserve">. В работе [32] электроосаждены композитные покрытия на никеле путем добавления наночастиц </w:t>
      </w:r>
      <w:r>
        <w:rPr>
          <w:sz w:val="28"/>
          <w:szCs w:val="28"/>
          <w:lang w:val="en-US"/>
        </w:rPr>
        <w:t>Cr</w:t>
      </w:r>
      <w:r>
        <w:rPr>
          <w:sz w:val="28"/>
          <w:szCs w:val="28"/>
        </w:rPr>
        <w:t xml:space="preserve"> и </w:t>
      </w:r>
      <w:r>
        <w:rPr>
          <w:sz w:val="28"/>
          <w:szCs w:val="28"/>
          <w:lang w:val="en-US"/>
        </w:rPr>
        <w:t>Al</w:t>
      </w:r>
      <w:r>
        <w:rPr>
          <w:sz w:val="28"/>
          <w:szCs w:val="28"/>
        </w:rPr>
        <w:t xml:space="preserve"> в различные </w:t>
      </w:r>
      <w:r>
        <w:rPr>
          <w:sz w:val="28"/>
          <w:szCs w:val="28"/>
          <w:lang w:val="en-US"/>
        </w:rPr>
        <w:t>Ni</w:t>
      </w:r>
      <w:r>
        <w:rPr>
          <w:sz w:val="28"/>
          <w:szCs w:val="28"/>
        </w:rPr>
        <w:t xml:space="preserve">-содержащие ванны. В составе композитных покрытий образовались слои </w:t>
      </w:r>
      <w:r>
        <w:rPr>
          <w:sz w:val="28"/>
          <w:szCs w:val="28"/>
          <w:lang w:val="en-US"/>
        </w:rPr>
        <w:t>Cr</w:t>
      </w:r>
      <w:r>
        <w:rPr>
          <w:sz w:val="28"/>
          <w:szCs w:val="28"/>
          <w:vertAlign w:val="subscript"/>
        </w:rPr>
        <w:t>2</w:t>
      </w:r>
      <w:r>
        <w:rPr>
          <w:sz w:val="28"/>
          <w:szCs w:val="28"/>
          <w:lang w:val="en-US"/>
        </w:rPr>
        <w:t>O</w:t>
      </w:r>
      <w:r>
        <w:rPr>
          <w:sz w:val="28"/>
          <w:szCs w:val="28"/>
          <w:vertAlign w:val="subscript"/>
        </w:rPr>
        <w:t>3</w:t>
      </w:r>
      <w:r>
        <w:rPr>
          <w:sz w:val="28"/>
          <w:szCs w:val="28"/>
        </w:rPr>
        <w:t xml:space="preserve"> и </w:t>
      </w:r>
      <w:r>
        <w:rPr>
          <w:sz w:val="28"/>
          <w:szCs w:val="28"/>
          <w:lang w:val="en-US"/>
        </w:rPr>
        <w:t>Al</w:t>
      </w:r>
      <w:r>
        <w:rPr>
          <w:sz w:val="28"/>
          <w:szCs w:val="28"/>
          <w:vertAlign w:val="subscript"/>
        </w:rPr>
        <w:t>2</w:t>
      </w:r>
      <w:r>
        <w:rPr>
          <w:sz w:val="28"/>
          <w:szCs w:val="28"/>
          <w:lang w:val="en-US"/>
        </w:rPr>
        <w:t>O</w:t>
      </w:r>
      <w:r>
        <w:rPr>
          <w:sz w:val="28"/>
          <w:szCs w:val="28"/>
          <w:vertAlign w:val="subscript"/>
        </w:rPr>
        <w:t>3</w:t>
      </w:r>
      <w:r>
        <w:rPr>
          <w:sz w:val="28"/>
          <w:szCs w:val="28"/>
        </w:rPr>
        <w:t>, что обеспечило превосходную стойкость к высокотемпературному окислению.</w:t>
      </w:r>
    </w:p>
    <w:p w14:paraId="2F8F96D0">
      <w:pPr>
        <w:rPr>
          <w:rStyle w:val="8"/>
        </w:rPr>
      </w:pPr>
      <w:r>
        <w:br w:type="page"/>
      </w:r>
    </w:p>
    <w:p w14:paraId="629FFA21">
      <w:pPr>
        <w:pStyle w:val="3"/>
        <w:spacing w:before="0"/>
        <w:rPr>
          <w:rStyle w:val="8"/>
          <w:rFonts w:cs="Times New Roman"/>
          <w:b/>
          <w:bCs/>
        </w:rPr>
      </w:pPr>
      <w:bookmarkStart w:id="4" w:name="_Toc167999795"/>
      <w:r>
        <w:rPr>
          <w:rStyle w:val="8"/>
          <w:rFonts w:cs="Times New Roman"/>
          <w:b/>
          <w:bCs/>
        </w:rPr>
        <w:t>2.4 Локальный рентгеноспектральный анализ</w:t>
      </w:r>
      <w:bookmarkEnd w:id="4"/>
    </w:p>
    <w:p w14:paraId="7CE2BA41">
      <w:pPr>
        <w:pStyle w:val="4"/>
        <w:rPr>
          <w:rFonts w:cs="Times New Roman"/>
          <w:sz w:val="28"/>
          <w:szCs w:val="28"/>
        </w:rPr>
      </w:pPr>
      <w:bookmarkStart w:id="5" w:name="_Toc167999796"/>
      <w:r>
        <w:rPr>
          <w:rFonts w:cs="Times New Roman"/>
          <w:sz w:val="28"/>
          <w:szCs w:val="28"/>
        </w:rPr>
        <w:t>2.4.1 Метод ЛРСА (</w:t>
      </w:r>
      <w:r>
        <w:rPr>
          <w:rFonts w:cs="Times New Roman"/>
          <w:sz w:val="28"/>
          <w:szCs w:val="28"/>
          <w:lang w:val="en-US"/>
        </w:rPr>
        <w:t>EDX</w:t>
      </w:r>
      <w:r>
        <w:rPr>
          <w:rFonts w:cs="Times New Roman"/>
          <w:sz w:val="28"/>
          <w:szCs w:val="28"/>
        </w:rPr>
        <w:t>)</w:t>
      </w:r>
      <w:bookmarkEnd w:id="5"/>
    </w:p>
    <w:p w14:paraId="0CFE1C72">
      <w:pPr>
        <w:spacing w:before="120" w:line="360" w:lineRule="auto"/>
        <w:ind w:firstLine="709"/>
        <w:jc w:val="both"/>
        <w:rPr>
          <w:sz w:val="28"/>
          <w:szCs w:val="28"/>
        </w:rPr>
      </w:pPr>
      <w:r>
        <w:rPr>
          <w:sz w:val="28"/>
          <w:szCs w:val="28"/>
        </w:rPr>
        <w:t xml:space="preserve">Локальный рентгеноспектральный анализ представляет собой метод анализа небольшой области твердотельного образца, в которой рентгеновское излучение возбуждается сфокусированным пучком электронов. Рентгеновский спектр содержит линии, которые характеризуют присутствие данного элемента в пробе, поэтому качественный анализ легко проводится после идентификации линий по длинам волн (или по энергиям фотонов). На рисунке 3 представлен спектр, полученный при анализе одного из образцов электроосаженного никеля и хрома на образец сплава системы </w:t>
      </w:r>
      <w:r>
        <w:rPr>
          <w:sz w:val="28"/>
          <w:szCs w:val="28"/>
          <w:lang w:val="en-US"/>
        </w:rPr>
        <w:t>Co</w:t>
      </w:r>
      <w:r>
        <w:rPr>
          <w:sz w:val="28"/>
          <w:szCs w:val="28"/>
        </w:rPr>
        <w:t>-</w:t>
      </w:r>
      <w:r>
        <w:rPr>
          <w:sz w:val="28"/>
          <w:szCs w:val="28"/>
          <w:lang w:val="en-US"/>
        </w:rPr>
        <w:t>Re</w:t>
      </w:r>
      <w:r>
        <w:rPr>
          <w:sz w:val="28"/>
          <w:szCs w:val="28"/>
        </w:rPr>
        <w:t>-</w:t>
      </w:r>
      <w:r>
        <w:rPr>
          <w:sz w:val="28"/>
          <w:szCs w:val="28"/>
          <w:lang w:val="en-US"/>
        </w:rPr>
        <w:t>Nb</w:t>
      </w:r>
      <w:r>
        <w:rPr>
          <w:sz w:val="28"/>
          <w:szCs w:val="28"/>
        </w:rPr>
        <w:t>.</w:t>
      </w:r>
    </w:p>
    <w:p w14:paraId="1C8EA53C">
      <w:pPr>
        <w:shd w:val="clear" w:color="auto" w:fill="FFFFFF" w:themeFill="background1"/>
        <w:spacing w:before="120" w:line="360" w:lineRule="auto"/>
        <w:ind w:firstLine="709"/>
        <w:jc w:val="center"/>
        <w:rPr>
          <w:sz w:val="28"/>
          <w:szCs w:val="28"/>
        </w:rPr>
      </w:pPr>
      <w:r>
        <mc:AlternateContent>
          <mc:Choice Requires="wps">
            <w:drawing>
              <wp:inline distT="0" distB="0" distL="0" distR="0">
                <wp:extent cx="304800" cy="304800"/>
                <wp:effectExtent l="0" t="0" r="0" b="0"/>
                <wp:docPr id="28" name="AutoShape 2" descr="e8e3739c-acc6-4265-b09f-a4b131ca0b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txbx>
                        <w:txbxContent>
                          <w:p w14:paraId="3BA4E0AE">
                            <w:pPr>
                              <w:jc w:val="center"/>
                            </w:pPr>
                          </w:p>
                        </w:txbxContent>
                      </wps:txbx>
                      <wps:bodyPr rot="0" vert="horz" wrap="square" lIns="91440" tIns="45720" rIns="91440" bIns="45720" anchor="t" anchorCtr="0" upright="1">
                        <a:noAutofit/>
                      </wps:bodyPr>
                    </wps:wsp>
                  </a:graphicData>
                </a:graphic>
              </wp:inline>
            </w:drawing>
          </mc:Choice>
          <mc:Fallback>
            <w:pict>
              <v:rect id="AutoShape 2" o:spid="_x0000_s1026" o:spt="1" alt="e8e3739c-acc6-4265-b09f-a4b131ca0b06"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HzJZ0&#10;0gAAAAMBAAAPAAAAAAAAAAEAIAAAACIAAABkcnMvZG93bnJldi54bWxQSwECFAAUAAAACACHTuJA&#10;1I1CAScCAABLBAAADgAAAAAAAAABACAAAAAhAQAAZHJzL2Uyb0RvYy54bWxQSwUGAAAAAAYABgBZ&#10;AQAAugUAAAAA&#10;">
                <v:fill on="f" focussize="0,0"/>
                <v:stroke on="f"/>
                <v:imagedata o:title=""/>
                <o:lock v:ext="edit" aspectratio="t"/>
                <v:textbox>
                  <w:txbxContent>
                    <w:p w14:paraId="3BA4E0AE">
                      <w:pPr>
                        <w:jc w:val="center"/>
                      </w:pPr>
                    </w:p>
                  </w:txbxContent>
                </v:textbox>
                <w10:wrap type="none"/>
                <w10:anchorlock/>
              </v:rect>
            </w:pict>
          </mc:Fallback>
        </mc:AlternateContent>
      </w:r>
      <w:r>
        <w:drawing>
          <wp:inline distT="0" distB="0" distL="0" distR="0">
            <wp:extent cx="4182110" cy="2091055"/>
            <wp:effectExtent l="0" t="0" r="889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182532" cy="2091266"/>
                    </a:xfrm>
                    <a:prstGeom prst="rect">
                      <a:avLst/>
                    </a:prstGeom>
                  </pic:spPr>
                </pic:pic>
              </a:graphicData>
            </a:graphic>
          </wp:inline>
        </w:drawing>
      </w:r>
      <w:r>
        <mc:AlternateContent>
          <mc:Choice Requires="wps">
            <w:drawing>
              <wp:inline distT="0" distB="0" distL="0" distR="0">
                <wp:extent cx="304800" cy="304800"/>
                <wp:effectExtent l="0" t="0" r="0" b="0"/>
                <wp:docPr id="27" name="AutoShape 3" descr="e8e3739c-acc6-4265-b09f-a4b131ca0b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txbx>
                        <w:txbxContent>
                          <w:p w14:paraId="20803F5F">
                            <w:pPr>
                              <w:jc w:val="center"/>
                            </w:pPr>
                          </w:p>
                        </w:txbxContent>
                      </wps:txbx>
                      <wps:bodyPr rot="0" vert="horz" wrap="square" lIns="91440" tIns="45720" rIns="91440" bIns="45720" anchor="t" anchorCtr="0" upright="1">
                        <a:noAutofit/>
                      </wps:bodyPr>
                    </wps:wsp>
                  </a:graphicData>
                </a:graphic>
              </wp:inline>
            </w:drawing>
          </mc:Choice>
          <mc:Fallback>
            <w:pict>
              <v:rect id="AutoShape 3" o:spid="_x0000_s1026" o:spt="1" alt="e8e3739c-acc6-4265-b09f-a4b131ca0b06"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8yW&#10;dNIAAAADAQAADwAAAAAAAAABACAAAAAiAAAAZHJzL2Rvd25yZXYueG1sUEsBAhQAFAAAAAgAh07i&#10;QNron40oAgAASwQAAA4AAAAAAAAAAQAgAAAAIQEAAGRycy9lMm9Eb2MueG1sUEsFBgAAAAAGAAYA&#10;WQEAALsFAAAAAA==&#10;">
                <v:fill on="f" focussize="0,0"/>
                <v:stroke on="f"/>
                <v:imagedata o:title=""/>
                <o:lock v:ext="edit" aspectratio="t"/>
                <v:textbox>
                  <w:txbxContent>
                    <w:p w14:paraId="20803F5F">
                      <w:pPr>
                        <w:jc w:val="center"/>
                      </w:pPr>
                    </w:p>
                  </w:txbxContent>
                </v:textbox>
                <w10:wrap type="none"/>
                <w10:anchorlock/>
              </v:rect>
            </w:pict>
          </mc:Fallback>
        </mc:AlternateContent>
      </w:r>
      <w:r>
        <mc:AlternateContent>
          <mc:Choice Requires="wps">
            <w:drawing>
              <wp:inline distT="0" distB="0" distL="0" distR="0">
                <wp:extent cx="304800" cy="304800"/>
                <wp:effectExtent l="0" t="0" r="0" b="0"/>
                <wp:docPr id="26" name="AutoShape 4" descr="e8e3739c-acc6-4265-b09f-a4b131ca0b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txbx>
                        <w:txbxContent>
                          <w:p w14:paraId="389CE65C">
                            <w:pPr>
                              <w:jc w:val="center"/>
                            </w:pPr>
                          </w:p>
                        </w:txbxContent>
                      </wps:txbx>
                      <wps:bodyPr rot="0" vert="horz" wrap="square" lIns="91440" tIns="45720" rIns="91440" bIns="45720" anchor="t" anchorCtr="0" upright="1">
                        <a:noAutofit/>
                      </wps:bodyPr>
                    </wps:wsp>
                  </a:graphicData>
                </a:graphic>
              </wp:inline>
            </w:drawing>
          </mc:Choice>
          <mc:Fallback>
            <w:pict>
              <v:rect id="AutoShape 4" o:spid="_x0000_s1026" o:spt="1" alt="e8e3739c-acc6-4265-b09f-a4b131ca0b06"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HzJZ0&#10;0gAAAAMBAAAPAAAAAAAAAAEAIAAAACIAAABkcnMvZG93bnJldi54bWxQSwECFAAUAAAACACHTuJA&#10;7WVCmycCAABLBAAADgAAAAAAAAABACAAAAAhAQAAZHJzL2Uyb0RvYy54bWxQSwUGAAAAAAYABgBZ&#10;AQAAugUAAAAA&#10;">
                <v:fill on="f" focussize="0,0"/>
                <v:stroke on="f"/>
                <v:imagedata o:title=""/>
                <o:lock v:ext="edit" aspectratio="t"/>
                <v:textbox>
                  <w:txbxContent>
                    <w:p w14:paraId="389CE65C">
                      <w:pPr>
                        <w:jc w:val="center"/>
                      </w:pPr>
                    </w:p>
                  </w:txbxContent>
                </v:textbox>
                <w10:wrap type="none"/>
                <w10:anchorlock/>
              </v:rect>
            </w:pict>
          </mc:Fallback>
        </mc:AlternateContent>
      </w:r>
      <w:r>
        <mc:AlternateContent>
          <mc:Choice Requires="wps">
            <w:drawing>
              <wp:inline distT="0" distB="0" distL="0" distR="0">
                <wp:extent cx="304800" cy="304800"/>
                <wp:effectExtent l="0" t="0" r="0" b="0"/>
                <wp:docPr id="25" name="AutoShape 5" descr="e8e3739c-acc6-4265-b09f-a4b131ca0b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txbx>
                        <w:txbxContent>
                          <w:p w14:paraId="1AD11DE6">
                            <w:pPr>
                              <w:jc w:val="center"/>
                            </w:pPr>
                          </w:p>
                        </w:txbxContent>
                      </wps:txbx>
                      <wps:bodyPr rot="0" vert="horz" wrap="square" lIns="91440" tIns="45720" rIns="91440" bIns="45720" anchor="t" anchorCtr="0" upright="1">
                        <a:noAutofit/>
                      </wps:bodyPr>
                    </wps:wsp>
                  </a:graphicData>
                </a:graphic>
              </wp:inline>
            </w:drawing>
          </mc:Choice>
          <mc:Fallback>
            <w:pict>
              <v:rect id="AutoShape 5" o:spid="_x0000_s1026" o:spt="1" alt="e8e3739c-acc6-4265-b09f-a4b131ca0b06"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HzJZ0&#10;0gAAAAMBAAAPAAAAAAAAAAEAIAAAACIAAABkcnMvZG93bnJldi54bWxQSwECFAAUAAAACACHTuJA&#10;sfqagScCAABLBAAADgAAAAAAAAABACAAAAAhAQAAZHJzL2Uyb0RvYy54bWxQSwUGAAAAAAYABgBZ&#10;AQAAugUAAAAA&#10;">
                <v:fill on="f" focussize="0,0"/>
                <v:stroke on="f"/>
                <v:imagedata o:title=""/>
                <o:lock v:ext="edit" aspectratio="t"/>
                <v:textbox>
                  <w:txbxContent>
                    <w:p w14:paraId="1AD11DE6">
                      <w:pPr>
                        <w:jc w:val="center"/>
                      </w:pPr>
                    </w:p>
                  </w:txbxContent>
                </v:textbox>
                <w10:wrap type="none"/>
                <w10:anchorlock/>
              </v:rect>
            </w:pict>
          </mc:Fallback>
        </mc:AlternateContent>
      </w:r>
      <w:r>
        <mc:AlternateContent>
          <mc:Choice Requires="wps">
            <w:drawing>
              <wp:inline distT="0" distB="0" distL="0" distR="0">
                <wp:extent cx="304800" cy="304800"/>
                <wp:effectExtent l="0" t="0" r="0" b="0"/>
                <wp:docPr id="24" name="AutoShape 6" descr="e8e3739c-acc6-4265-b09f-a4b131ca0b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txbx>
                        <w:txbxContent>
                          <w:p w14:paraId="32A11D97">
                            <w:pPr>
                              <w:jc w:val="center"/>
                            </w:pPr>
                          </w:p>
                        </w:txbxContent>
                      </wps:txbx>
                      <wps:bodyPr rot="0" vert="horz" wrap="square" lIns="91440" tIns="45720" rIns="91440" bIns="45720" anchor="t" anchorCtr="0" upright="1">
                        <a:noAutofit/>
                      </wps:bodyPr>
                    </wps:wsp>
                  </a:graphicData>
                </a:graphic>
              </wp:inline>
            </w:drawing>
          </mc:Choice>
          <mc:Fallback>
            <w:pict>
              <v:rect id="AutoShape 6" o:spid="_x0000_s1026" o:spt="1" alt="e8e3739c-acc6-4265-b09f-a4b131ca0b06"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HzJZ0&#10;0gAAAAMBAAAPAAAAAAAAAAEAIAAAACIAAABkcnMvZG93bnJldi54bWxQSwECFAAUAAAACACHTuJA&#10;pPAgaicCAABLBAAADgAAAAAAAAABACAAAAAhAQAAZHJzL2Uyb0RvYy54bWxQSwUGAAAAAAYABgBZ&#10;AQAAugUAAAAA&#10;">
                <v:fill on="f" focussize="0,0"/>
                <v:stroke on="f"/>
                <v:imagedata o:title=""/>
                <o:lock v:ext="edit" aspectratio="t"/>
                <v:textbox>
                  <w:txbxContent>
                    <w:p w14:paraId="32A11D97">
                      <w:pPr>
                        <w:jc w:val="center"/>
                      </w:pPr>
                    </w:p>
                  </w:txbxContent>
                </v:textbox>
                <w10:wrap type="none"/>
                <w10:anchorlock/>
              </v:rect>
            </w:pict>
          </mc:Fallback>
        </mc:AlternateContent>
      </w:r>
      <w:r>
        <mc:AlternateContent>
          <mc:Choice Requires="wps">
            <w:drawing>
              <wp:inline distT="0" distB="0" distL="0" distR="0">
                <wp:extent cx="304800" cy="304800"/>
                <wp:effectExtent l="0" t="0" r="0" b="0"/>
                <wp:docPr id="23" name="AutoShape 7" descr="e8e3739c-acc6-4265-b09f-a4b131ca0b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txbx>
                        <w:txbxContent>
                          <w:p w14:paraId="5C04899F">
                            <w:pPr>
                              <w:jc w:val="center"/>
                            </w:pPr>
                          </w:p>
                        </w:txbxContent>
                      </wps:txbx>
                      <wps:bodyPr rot="0" vert="horz" wrap="square" lIns="91440" tIns="45720" rIns="91440" bIns="45720" anchor="t" anchorCtr="0" upright="1">
                        <a:noAutofit/>
                      </wps:bodyPr>
                    </wps:wsp>
                  </a:graphicData>
                </a:graphic>
              </wp:inline>
            </w:drawing>
          </mc:Choice>
          <mc:Fallback>
            <w:pict>
              <v:rect id="AutoShape 7" o:spid="_x0000_s1026" o:spt="1" alt="e8e3739c-acc6-4265-b09f-a4b131ca0b06"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8yW&#10;dNIAAAADAQAADwAAAAAAAAABACAAAAAiAAAAZHJzL2Rvd25yZXYueG1sUEsBAhQAFAAAAAgAh07i&#10;QAnEK7QoAgAASwQAAA4AAAAAAAAAAQAgAAAAIQEAAGRycy9lMm9Eb2MueG1sUEsFBgAAAAAGAAYA&#10;WQEAALsFAAAAAA==&#10;">
                <v:fill on="f" focussize="0,0"/>
                <v:stroke on="f"/>
                <v:imagedata o:title=""/>
                <o:lock v:ext="edit" aspectratio="t"/>
                <v:textbox>
                  <w:txbxContent>
                    <w:p w14:paraId="5C04899F">
                      <w:pPr>
                        <w:jc w:val="center"/>
                      </w:pPr>
                    </w:p>
                  </w:txbxContent>
                </v:textbox>
                <w10:wrap type="none"/>
                <w10:anchorlock/>
              </v:rect>
            </w:pict>
          </mc:Fallback>
        </mc:AlternateContent>
      </w:r>
      <w:r>
        <w:rPr>
          <w:i/>
          <w:sz w:val="28"/>
          <w:szCs w:val="28"/>
        </w:rPr>
        <w:t>Рисунок 3.</w:t>
      </w:r>
      <w:r>
        <w:rPr>
          <w:sz w:val="28"/>
          <w:szCs w:val="28"/>
        </w:rPr>
        <w:t xml:space="preserve"> ЛРСА, спектр осажденных хрома и никеля на образец сплава </w:t>
      </w:r>
    </w:p>
    <w:p w14:paraId="00BCAE3C">
      <w:pPr>
        <w:shd w:val="clear" w:color="auto" w:fill="FFFFFF" w:themeFill="background1"/>
        <w:tabs>
          <w:tab w:val="center" w:pos="5587"/>
          <w:tab w:val="left" w:pos="7187"/>
        </w:tabs>
        <w:spacing w:before="120" w:line="360" w:lineRule="auto"/>
        <w:ind w:firstLine="709"/>
        <w:rPr>
          <w:sz w:val="28"/>
          <w:szCs w:val="28"/>
        </w:rPr>
      </w:pPr>
      <w:r>
        <w:rPr>
          <w:sz w:val="28"/>
          <w:szCs w:val="28"/>
          <w:lang w:val="en-US"/>
        </w:rPr>
        <w:t xml:space="preserve">                                       </w:t>
      </w:r>
      <w:r>
        <w:rPr>
          <w:sz w:val="28"/>
          <w:szCs w:val="28"/>
        </w:rPr>
        <w:t xml:space="preserve">системы </w:t>
      </w:r>
      <w:r>
        <w:rPr>
          <w:sz w:val="28"/>
          <w:szCs w:val="28"/>
          <w:lang w:val="en-US"/>
        </w:rPr>
        <w:t>Co</w:t>
      </w:r>
      <w:r>
        <w:rPr>
          <w:sz w:val="28"/>
          <w:szCs w:val="28"/>
        </w:rPr>
        <w:t>-</w:t>
      </w:r>
      <w:r>
        <w:rPr>
          <w:sz w:val="28"/>
          <w:szCs w:val="28"/>
          <w:lang w:val="en-US"/>
        </w:rPr>
        <w:t>Nb</w:t>
      </w:r>
      <w:r>
        <w:rPr>
          <w:sz w:val="28"/>
          <w:szCs w:val="28"/>
        </w:rPr>
        <w:t>-</w:t>
      </w:r>
      <w:r>
        <w:rPr>
          <w:sz w:val="28"/>
          <w:szCs w:val="28"/>
          <w:lang w:val="en-US"/>
        </w:rPr>
        <w:t>Re</w:t>
      </w:r>
      <w:r>
        <w:rPr>
          <w:sz w:val="28"/>
          <w:szCs w:val="28"/>
        </w:rPr>
        <w:t>.</w:t>
      </w:r>
    </w:p>
    <w:p w14:paraId="7DECC390">
      <w:pPr>
        <w:pStyle w:val="35"/>
        <w:spacing w:line="360" w:lineRule="auto"/>
        <w:jc w:val="center"/>
        <w:rPr>
          <w:rFonts w:ascii="Times New Roman" w:hAnsi="Times New Roman" w:cs="Times New Roman"/>
          <w:b w:val="0"/>
          <w:i/>
          <w:color w:val="000000" w:themeColor="text1"/>
          <w:sz w:val="28"/>
          <w:shd w:val="clear" w:color="auto" w:fill="FFFF00"/>
          <w14:textFill>
            <w14:solidFill>
              <w14:schemeClr w14:val="tx1"/>
            </w14:solidFill>
          </w14:textFill>
        </w:rPr>
      </w:pPr>
    </w:p>
    <w:p w14:paraId="4A945801">
      <w:pPr>
        <w:spacing w:line="360" w:lineRule="auto"/>
        <w:ind w:firstLine="709"/>
        <w:jc w:val="both"/>
        <w:rPr>
          <w:sz w:val="28"/>
          <w:szCs w:val="28"/>
        </w:rPr>
      </w:pPr>
      <w:r>
        <w:rPr>
          <w:sz w:val="28"/>
          <w:szCs w:val="28"/>
        </w:rPr>
        <w:t>Сравнение интенсивностей линий образца с интенсивностями тех же линий в стандарте (чистый элемент или соединение известного состава) позволяет определять концентрации элементов, то есть провести количественный анализ. Погрешность определений достигает 1 % (относительная доля), а предел обнаружения достигает 50 ppm, хотя в отдельных случаях можно достичь и более низких значений.</w:t>
      </w:r>
    </w:p>
    <w:p w14:paraId="7B42BDF3">
      <w:pPr>
        <w:spacing w:line="360" w:lineRule="auto"/>
        <w:ind w:firstLine="709"/>
        <w:jc w:val="both"/>
        <w:rPr>
          <w:sz w:val="28"/>
          <w:szCs w:val="28"/>
        </w:rPr>
      </w:pPr>
      <w:r>
        <w:rPr>
          <w:sz w:val="28"/>
          <w:szCs w:val="28"/>
        </w:rPr>
        <w:t>Метод может применяться для исследования любых твердофазных веществ. В ряде случаев этим методом могут исследоваться жидкие смазки, лаки, краски, биологические объекты и др. ЛРСА применяется в металлургии, минералогии, биологии, медицине и других смежных областях. Определяемые элементы – от бора (В) до урана (U), предел обнаружения порядка 0,1 % масс., диапазон определяемых концентраций – от примерно 0,5 до 100 % масс., погрешность определения – 5% относительных. Рассмотрим основы и закономерности данного метода подробнее.</w:t>
      </w:r>
    </w:p>
    <w:p w14:paraId="4C7A7AA1">
      <w:pPr>
        <w:spacing w:before="120" w:line="360" w:lineRule="auto"/>
        <w:jc w:val="both"/>
        <w:rPr>
          <w:sz w:val="28"/>
          <w:szCs w:val="28"/>
        </w:rPr>
      </w:pPr>
    </w:p>
    <w:p w14:paraId="4FEF59A2"/>
    <w:p w14:paraId="0A23D489">
      <w:pPr>
        <w:pStyle w:val="4"/>
        <w:jc w:val="both"/>
        <w:rPr>
          <w:rFonts w:cs="Times New Roman"/>
          <w:sz w:val="28"/>
          <w:szCs w:val="28"/>
        </w:rPr>
      </w:pPr>
      <w:bookmarkStart w:id="6" w:name="_Toc167999797"/>
      <w:r>
        <w:rPr>
          <w:rStyle w:val="8"/>
          <w:rFonts w:cs="Times New Roman"/>
          <w:b w:val="0"/>
          <w:bCs w:val="0"/>
          <w:sz w:val="28"/>
          <w:szCs w:val="28"/>
        </w:rPr>
        <w:t>2.4.2.</w:t>
      </w:r>
      <w:r>
        <w:rPr>
          <w:rFonts w:cs="Times New Roman"/>
          <w:sz w:val="28"/>
          <w:szCs w:val="28"/>
        </w:rPr>
        <w:t>Формирование электронного зонда.</w:t>
      </w:r>
      <w:bookmarkEnd w:id="6"/>
    </w:p>
    <w:p w14:paraId="4F49D938">
      <w:pPr>
        <w:spacing w:before="120" w:line="360" w:lineRule="auto"/>
        <w:ind w:firstLine="709"/>
        <w:jc w:val="both"/>
        <w:rPr>
          <w:sz w:val="28"/>
          <w:szCs w:val="28"/>
          <w:lang w:val="en-US"/>
        </w:rPr>
      </w:pPr>
      <w:r>
        <w:rPr>
          <w:sz w:val="28"/>
          <w:szCs w:val="28"/>
        </w:rPr>
        <w:t>Рассмотрим принципиальную схему сканирующего электронного микроскопа на примере LEO EVO 50 XVP (Karl Zeiss, Германия), оснащенного энерго - дисперсионным анализатором INCA - energy 450 (Oxford Instruments, Англия). На рис. 4 представлена вакуумная камера (11) электронного микроскопа в разрезе.</w:t>
      </w:r>
    </w:p>
    <w:p w14:paraId="401EC312">
      <w:pPr>
        <w:keepNext/>
      </w:pPr>
      <w:r>
        <w:drawing>
          <wp:inline distT="0" distB="0" distL="0" distR="0">
            <wp:extent cx="4502785" cy="3437255"/>
            <wp:effectExtent l="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noChangeArrowheads="1"/>
                    </pic:cNvPicPr>
                  </pic:nvPicPr>
                  <pic:blipFill>
                    <a:blip r:embed="rId11"/>
                    <a:stretch>
                      <a:fillRect/>
                    </a:stretch>
                  </pic:blipFill>
                  <pic:spPr>
                    <a:xfrm>
                      <a:off x="0" y="0"/>
                      <a:ext cx="4502785" cy="3437255"/>
                    </a:xfrm>
                    <a:prstGeom prst="rect">
                      <a:avLst/>
                    </a:prstGeom>
                  </pic:spPr>
                </pic:pic>
              </a:graphicData>
            </a:graphic>
          </wp:inline>
        </w:drawing>
      </w:r>
    </w:p>
    <w:p w14:paraId="4990EF9A">
      <w:pPr>
        <w:pStyle w:val="35"/>
        <w:jc w:val="both"/>
        <w:rPr>
          <w:rFonts w:ascii="Times New Roman" w:hAnsi="Times New Roman" w:cs="Times New Roman"/>
          <w:b w:val="0"/>
          <w:i/>
          <w:color w:val="000000" w:themeColor="text1"/>
          <w:sz w:val="28"/>
          <w:szCs w:val="28"/>
          <w14:textFill>
            <w14:solidFill>
              <w14:schemeClr w14:val="tx1"/>
            </w14:solidFill>
          </w14:textFill>
        </w:rPr>
      </w:pPr>
      <w:r>
        <w:rPr>
          <w:rFonts w:ascii="Times New Roman" w:hAnsi="Times New Roman" w:cs="Times New Roman"/>
          <w:b w:val="0"/>
          <w:i/>
          <w:color w:val="000000" w:themeColor="text1"/>
          <w:sz w:val="28"/>
          <w:szCs w:val="28"/>
          <w14:textFill>
            <w14:solidFill>
              <w14:schemeClr w14:val="tx1"/>
            </w14:solidFill>
          </w14:textFill>
        </w:rPr>
        <w:t>Рисунок 4. Вакуумная камера электронного микроскопа EVO 50.</w:t>
      </w:r>
    </w:p>
    <w:p w14:paraId="5192FF01">
      <w:pPr>
        <w:spacing w:line="360" w:lineRule="auto"/>
        <w:ind w:firstLine="709"/>
        <w:jc w:val="both"/>
        <w:rPr>
          <w:sz w:val="28"/>
          <w:szCs w:val="28"/>
        </w:rPr>
      </w:pPr>
      <w:r>
        <w:rPr>
          <w:sz w:val="28"/>
          <w:szCs w:val="28"/>
        </w:rPr>
        <w:t xml:space="preserve"> В верхней части колонны прибора (рис. 4) находится катод (1), который представляет собой нагревательный элемент из гексаборида лантана (чаще из вольфрама). При нагреве катода до высоких температур происходит эмиссия электронов. Ниже находится кольцеобразный анод (2). При подаче ускоряющего напряжения, а прибор позволяет задавать энергию электронам в диапазоне 200 В – 30 кВ, между катодом и анодом возникает поток электронов, который можно фокусировать магнитными линзами (3), перемещать отклоняющими линзами (4), обрезать по диаметру с помощью различных аппертурных диафрагм и т.п. В результате образуется пучок электронов (электронный зонд), диаметром около 10 нм, который попадает на образец (7), помещенный на моторизованный столик (10), имеющий 5 независимых осей перемещения: две горизонтальные, вертикальная, вращение и наклон. Электронный зонд взаимодействует с приповерхностным участком образца глубиной приблизительно в несколько микрон. Глубина взаимодействия зависит как от ускоряющего напряжения, так и от плотности материала. В результате такого взаимодействия происходит испускание вторичных электронов, обратно - рассеянных (отраженных) электронов и характеристического рентгеновского излучения. На рис. 4 показаны детекторы вторичных электронов (8) и детектор характеристического рентгеновского излучения (9).</w:t>
      </w:r>
    </w:p>
    <w:p w14:paraId="5E6CE335">
      <w:pPr>
        <w:pStyle w:val="4"/>
        <w:rPr>
          <w:rFonts w:cs="Times New Roman"/>
          <w:sz w:val="28"/>
          <w:szCs w:val="28"/>
        </w:rPr>
      </w:pPr>
      <w:bookmarkStart w:id="7" w:name="_Toc167999798"/>
      <w:r>
        <w:rPr>
          <w:rFonts w:cs="Times New Roman"/>
          <w:sz w:val="28"/>
          <w:szCs w:val="28"/>
        </w:rPr>
        <w:t>2.4.3 Основные этапы работы ЛРСА</w:t>
      </w:r>
      <w:bookmarkEnd w:id="7"/>
    </w:p>
    <w:p w14:paraId="3A736151">
      <w:pPr>
        <w:spacing w:before="120" w:line="360" w:lineRule="auto"/>
        <w:ind w:firstLine="709"/>
        <w:jc w:val="both"/>
        <w:rPr>
          <w:color w:val="000000"/>
          <w:sz w:val="28"/>
          <w:szCs w:val="28"/>
          <w:shd w:val="clear" w:color="auto" w:fill="FFFFFF"/>
        </w:rPr>
      </w:pPr>
      <w:r>
        <w:rPr>
          <w:color w:val="000000"/>
          <w:sz w:val="28"/>
          <w:szCs w:val="28"/>
          <w:shd w:val="clear" w:color="auto" w:fill="FFFFFF"/>
        </w:rPr>
        <w:t>Локальный рентгеноспектральный анализ (ЛРСА) является методом анализа элементного состава материалов на микро- и наномасштабе. Принцип работы ЛРСА основан на воздействии рентгеновского излучения на образец и регистрации рентгеновского спектра, который образуется в результате взаимодействия излучения с атомами материала.</w:t>
      </w:r>
      <w:r>
        <w:rPr>
          <w:color w:val="000000"/>
          <w:sz w:val="28"/>
          <w:szCs w:val="28"/>
        </w:rPr>
        <w:br w:type="textWrapping"/>
      </w:r>
      <w:r>
        <w:rPr>
          <w:color w:val="000000"/>
          <w:sz w:val="28"/>
          <w:szCs w:val="28"/>
        </w:rPr>
        <w:br w:type="textWrapping"/>
      </w:r>
      <w:r>
        <w:rPr>
          <w:color w:val="000000"/>
          <w:sz w:val="28"/>
          <w:szCs w:val="28"/>
          <w:shd w:val="clear" w:color="auto" w:fill="FFFFFF"/>
        </w:rPr>
        <w:t>Основные этапы работы ЛРСА включают следующие шаги:</w:t>
      </w:r>
      <w:r>
        <w:rPr>
          <w:color w:val="000000"/>
          <w:sz w:val="28"/>
          <w:szCs w:val="28"/>
        </w:rPr>
        <w:br w:type="textWrapping"/>
      </w:r>
      <w:r>
        <w:rPr>
          <w:color w:val="000000"/>
          <w:sz w:val="28"/>
          <w:szCs w:val="28"/>
        </w:rPr>
        <w:br w:type="textWrapping"/>
      </w:r>
      <w:r>
        <w:rPr>
          <w:color w:val="000000"/>
          <w:sz w:val="28"/>
          <w:szCs w:val="28"/>
          <w:shd w:val="clear" w:color="auto" w:fill="FFFFFF"/>
        </w:rPr>
        <w:t xml:space="preserve">1. Испускание электронов: Вначале образец подвергается облучению электронами высокой энергии. Эти электроны заставляют атомы образца испускать характеристическое излучение. </w:t>
      </w:r>
      <w:r>
        <w:rPr>
          <w:color w:val="000000" w:themeColor="text1"/>
          <w:sz w:val="28"/>
          <w14:textFill>
            <w14:solidFill>
              <w14:schemeClr w14:val="tx1"/>
            </w14:solidFill>
          </w14:textFill>
        </w:rPr>
        <w:t xml:space="preserve">При попадании в образец высокоэнергетические электроны пучка испытывают рассеяние в результате серии взаимодействий с атомами и проходят по некоторой зигзагообразной траектории внутри него. При этом одна часть их будет поглощена объемом образца с практически полной потерей энергии, а другая может выйти из него в виде обратно рассеянных электронов, с частичной потерей или без потерь [33]. </w:t>
      </w:r>
    </w:p>
    <w:p w14:paraId="4D9D9B07">
      <w:pPr>
        <w:spacing w:before="120" w:line="360" w:lineRule="auto"/>
        <w:ind w:firstLine="709"/>
        <w:jc w:val="both"/>
        <w:rPr>
          <w:sz w:val="28"/>
          <w:szCs w:val="28"/>
        </w:rPr>
      </w:pPr>
      <w:r>
        <w:rPr>
          <w:color w:val="000000"/>
          <w:sz w:val="28"/>
          <w:szCs w:val="28"/>
          <w:shd w:val="clear" w:color="auto" w:fill="FFFFFF"/>
        </w:rPr>
        <w:t>2. Ионизация атомов: Излучение, которое испускают атомы в ответ на электронное воздействие, ионизирует атомы материала.</w:t>
      </w:r>
      <w:r>
        <w:rPr>
          <w:color w:val="000000"/>
          <w:sz w:val="28"/>
          <w:szCs w:val="28"/>
        </w:rPr>
        <w:br w:type="textWrapping"/>
      </w:r>
      <w:r>
        <w:rPr>
          <w:color w:val="000000"/>
          <w:sz w:val="28"/>
          <w:szCs w:val="28"/>
        </w:rPr>
        <w:br w:type="textWrapping"/>
      </w:r>
      <w:r>
        <w:rPr>
          <w:color w:val="000000"/>
          <w:sz w:val="28"/>
          <w:szCs w:val="28"/>
          <w:shd w:val="clear" w:color="auto" w:fill="FFFFFF"/>
        </w:rPr>
        <w:t>3. Регистрация рентгеновского спектра: Рентгеновские излучения, которые возникают из-за ионизации атомов, регистрируются детектором. Этот спектр содержит информацию о характеристических линиях различных элементов, присутствующих в образце.</w:t>
      </w:r>
      <w:r>
        <w:rPr>
          <w:color w:val="000000"/>
          <w:sz w:val="28"/>
          <w:szCs w:val="28"/>
        </w:rPr>
        <w:br w:type="textWrapping"/>
      </w:r>
      <w:r>
        <w:rPr>
          <w:color w:val="000000"/>
          <w:sz w:val="28"/>
          <w:szCs w:val="28"/>
        </w:rPr>
        <w:br w:type="textWrapping"/>
      </w:r>
      <w:r>
        <w:rPr>
          <w:color w:val="000000"/>
          <w:sz w:val="28"/>
          <w:szCs w:val="28"/>
          <w:shd w:val="clear" w:color="auto" w:fill="FFFFFF"/>
        </w:rPr>
        <w:t>4. Анализ данных: Полученный рентгеновский спектр анализируется для определения конкретных химических элементов и их содержания в образце. Сравнение характеристических линий измеренного спектра с известными данными позволяет идентифицировать элементы и их количественное содержание.</w:t>
      </w:r>
      <w:r>
        <w:rPr>
          <w:color w:val="000000"/>
          <w:sz w:val="28"/>
          <w:szCs w:val="28"/>
        </w:rPr>
        <w:br w:type="textWrapping"/>
      </w:r>
      <w:r>
        <w:rPr>
          <w:color w:val="000000"/>
          <w:sz w:val="28"/>
          <w:szCs w:val="28"/>
        </w:rPr>
        <w:br w:type="textWrapping"/>
      </w:r>
      <w:r>
        <w:rPr>
          <w:color w:val="000000"/>
          <w:sz w:val="28"/>
          <w:szCs w:val="28"/>
          <w:shd w:val="clear" w:color="auto" w:fill="FFFFFF"/>
        </w:rPr>
        <w:t>Рентгеноспектральный микрозондовый анализ широко используется в материаловедении, геологии, биологии и других областях для исследования элементного состава образцов. Этот метод позволяет проводить точный и качественный анализ малых областей образца, что делает его незаменимым инструментом в микроанализе материалов.</w:t>
      </w:r>
    </w:p>
    <w:p w14:paraId="16FEA303">
      <w:pPr>
        <w:pStyle w:val="4"/>
        <w:spacing w:line="360" w:lineRule="auto"/>
        <w:jc w:val="both"/>
        <w:rPr>
          <w:rFonts w:cs="Times New Roman"/>
          <w:sz w:val="28"/>
          <w:szCs w:val="28"/>
        </w:rPr>
      </w:pPr>
      <w:bookmarkStart w:id="8" w:name="_Toc40530234"/>
      <w:bookmarkStart w:id="9" w:name="_Toc167999799"/>
      <w:r>
        <w:rPr>
          <w:rFonts w:cs="Times New Roman"/>
          <w:sz w:val="28"/>
          <w:szCs w:val="28"/>
        </w:rPr>
        <w:t>2.4.4 Определение интенсивностей пика и фона</w:t>
      </w:r>
      <w:bookmarkEnd w:id="8"/>
      <w:bookmarkEnd w:id="9"/>
    </w:p>
    <w:p w14:paraId="196179FC">
      <w:pPr>
        <w:spacing w:before="120" w:line="360" w:lineRule="auto"/>
        <w:ind w:firstLine="709"/>
        <w:jc w:val="both"/>
        <w:rPr>
          <w:color w:val="000000" w:themeColor="text1"/>
          <w:sz w:val="28"/>
          <w14:textFill>
            <w14:solidFill>
              <w14:schemeClr w14:val="tx1"/>
            </w14:solidFill>
          </w14:textFill>
        </w:rPr>
      </w:pPr>
      <w:r>
        <w:rPr>
          <w:color w:val="000000" w:themeColor="text1"/>
          <w:sz w:val="28"/>
          <w14:textFill>
            <w14:solidFill>
              <w14:schemeClr w14:val="tx1"/>
            </w14:solidFill>
          </w14:textFill>
        </w:rPr>
        <w:t>Для проведения количественных измерений необходимо точно измерить интенсивность аналитической линии элемента [34]. Суммарная интенсивность аналитической линии складывается из двух составляющих – интенсивности непрерывного тормозного излучения (фона) и интенсивности собственно характеристического излучения, поэтому при измерении последнего вклад фона необходимо вычитать.</w:t>
      </w:r>
    </w:p>
    <w:p w14:paraId="1AA3C519">
      <w:pPr>
        <w:spacing w:before="120" w:after="160" w:line="360" w:lineRule="auto"/>
        <w:ind w:firstLine="709"/>
        <w:jc w:val="both"/>
        <w:rPr>
          <w:rFonts w:eastAsia="Calibri"/>
          <w:sz w:val="28"/>
          <w:szCs w:val="28"/>
        </w:rPr>
      </w:pPr>
      <w:r>
        <w:rPr>
          <w:rFonts w:eastAsia="Calibri"/>
          <w:sz w:val="28"/>
          <w:szCs w:val="28"/>
        </w:rPr>
        <w:t xml:space="preserve">Для описания распределения рентгеновского излучения по глубине Кастен предложил использовать функцию - </w:t>
      </w:r>
      <w:r>
        <w:rPr>
          <w:rFonts w:eastAsia="Calibri"/>
          <w:i/>
          <w:sz w:val="28"/>
          <w:szCs w:val="28"/>
        </w:rPr>
        <w:t>φ</w:t>
      </w:r>
      <w:r>
        <w:rPr>
          <w:rFonts w:eastAsia="Calibri"/>
          <w:sz w:val="28"/>
          <w:szCs w:val="28"/>
        </w:rPr>
        <w:t>(</w:t>
      </w:r>
      <w:r>
        <w:rPr>
          <w:rFonts w:eastAsia="Calibri"/>
          <w:i/>
          <w:sz w:val="28"/>
          <w:szCs w:val="28"/>
        </w:rPr>
        <w:t>ρz</w:t>
      </w:r>
      <w:r>
        <w:rPr>
          <w:rFonts w:eastAsia="Calibri"/>
          <w:sz w:val="28"/>
          <w:szCs w:val="28"/>
        </w:rPr>
        <w:t xml:space="preserve">) </w:t>
      </w:r>
      <w:r>
        <w:rPr>
          <w:rFonts w:eastAsia="Calibri"/>
          <w:color w:val="000000" w:themeColor="text1"/>
          <w:sz w:val="28"/>
          <w:szCs w:val="28"/>
          <w14:textFill>
            <w14:solidFill>
              <w14:schemeClr w14:val="tx1"/>
            </w14:solidFill>
          </w14:textFill>
        </w:rPr>
        <w:t xml:space="preserve">(PhiRhoZ), </w:t>
      </w:r>
      <w:r>
        <w:rPr>
          <w:rFonts w:eastAsia="Calibri"/>
          <w:sz w:val="28"/>
          <w:szCs w:val="28"/>
        </w:rPr>
        <w:t xml:space="preserve">где </w:t>
      </w:r>
      <w:r>
        <w:rPr>
          <w:rFonts w:eastAsia="Calibri"/>
          <w:i/>
          <w:sz w:val="28"/>
          <w:szCs w:val="28"/>
        </w:rPr>
        <w:t>ρz</w:t>
      </w:r>
      <w:r>
        <w:rPr>
          <w:rFonts w:eastAsia="Calibri"/>
          <w:sz w:val="28"/>
          <w:szCs w:val="28"/>
        </w:rPr>
        <w:t xml:space="preserve"> это «массовая глубина» с размерностью г/см</w:t>
      </w:r>
      <w:r>
        <w:rPr>
          <w:rFonts w:eastAsia="Calibri"/>
          <w:sz w:val="28"/>
          <w:szCs w:val="28"/>
          <w:vertAlign w:val="superscript"/>
        </w:rPr>
        <w:t>2</w:t>
      </w:r>
      <w:r>
        <w:rPr>
          <w:rFonts w:eastAsia="Calibri"/>
          <w:sz w:val="28"/>
          <w:szCs w:val="28"/>
        </w:rPr>
        <w:t xml:space="preserve">. Кривая </w:t>
      </w:r>
      <w:r>
        <w:rPr>
          <w:rFonts w:eastAsia="Calibri"/>
          <w:i/>
          <w:sz w:val="28"/>
          <w:szCs w:val="28"/>
        </w:rPr>
        <w:t>φ</w:t>
      </w:r>
      <w:r>
        <w:rPr>
          <w:rFonts w:eastAsia="Calibri"/>
          <w:sz w:val="28"/>
          <w:szCs w:val="28"/>
        </w:rPr>
        <w:t>(</w:t>
      </w:r>
      <w:r>
        <w:rPr>
          <w:rFonts w:eastAsia="Calibri"/>
          <w:i/>
          <w:sz w:val="28"/>
          <w:szCs w:val="28"/>
        </w:rPr>
        <w:t>ρz</w:t>
      </w:r>
      <w:r>
        <w:rPr>
          <w:rFonts w:eastAsia="Calibri"/>
          <w:sz w:val="28"/>
          <w:szCs w:val="28"/>
        </w:rPr>
        <w:t xml:space="preserve">) определяется как отношение интенсивности излучения, генерируемого в тонком слое вещества на глубине </w:t>
      </w:r>
      <w:r>
        <w:rPr>
          <w:rFonts w:eastAsia="Calibri"/>
          <w:i/>
          <w:sz w:val="28"/>
          <w:szCs w:val="28"/>
        </w:rPr>
        <w:t>z</w:t>
      </w:r>
      <w:r>
        <w:rPr>
          <w:rFonts w:eastAsia="Calibri"/>
          <w:sz w:val="28"/>
          <w:szCs w:val="28"/>
        </w:rPr>
        <w:t xml:space="preserve">, к интенсивности в изолированном в вакууме слое такой же толщины </w:t>
      </w:r>
      <w:r>
        <w:rPr>
          <w:rFonts w:eastAsia="Calibri"/>
          <w:color w:val="000000" w:themeColor="text1"/>
          <w:sz w:val="28"/>
          <w:szCs w:val="28"/>
          <w14:textFill>
            <w14:solidFill>
              <w14:schemeClr w14:val="tx1"/>
            </w14:solidFill>
          </w14:textFill>
        </w:rPr>
        <w:t>[35].</w:t>
      </w:r>
    </w:p>
    <w:p w14:paraId="674300BD">
      <w:pPr>
        <w:spacing w:before="120" w:after="160" w:line="360" w:lineRule="auto"/>
        <w:ind w:firstLine="709"/>
        <w:jc w:val="both"/>
        <w:rPr>
          <w:rFonts w:eastAsia="Calibri"/>
          <w:sz w:val="28"/>
          <w:szCs w:val="28"/>
        </w:rPr>
      </w:pPr>
      <w:r>
        <w:rPr>
          <w:rFonts w:eastAsia="Calibri"/>
          <w:sz w:val="28"/>
          <w:szCs w:val="28"/>
        </w:rPr>
        <w:t xml:space="preserve">Типичная форма кривой </w:t>
      </w:r>
      <w:r>
        <w:rPr>
          <w:rFonts w:eastAsia="Calibri"/>
          <w:i/>
          <w:sz w:val="28"/>
          <w:szCs w:val="28"/>
        </w:rPr>
        <w:t>φ</w:t>
      </w:r>
      <w:r>
        <w:rPr>
          <w:rFonts w:eastAsia="Calibri"/>
          <w:sz w:val="28"/>
          <w:szCs w:val="28"/>
        </w:rPr>
        <w:t>(</w:t>
      </w:r>
      <w:r>
        <w:rPr>
          <w:rFonts w:eastAsia="Calibri"/>
          <w:i/>
          <w:sz w:val="28"/>
          <w:szCs w:val="28"/>
        </w:rPr>
        <w:t>ρz</w:t>
      </w:r>
      <w:r>
        <w:rPr>
          <w:rFonts w:eastAsia="Calibri"/>
          <w:sz w:val="28"/>
          <w:szCs w:val="28"/>
        </w:rPr>
        <w:t>) представлена на рис 5.</w:t>
      </w:r>
    </w:p>
    <w:p w14:paraId="587BAB7C">
      <w:pPr>
        <w:spacing w:before="120" w:after="160" w:line="360" w:lineRule="auto"/>
        <w:ind w:firstLine="709"/>
        <w:jc w:val="both"/>
        <w:rPr>
          <w:rFonts w:eastAsia="Calibri"/>
          <w:sz w:val="28"/>
          <w:szCs w:val="28"/>
        </w:rPr>
      </w:pPr>
      <w:r>
        <w:rPr>
          <w:rFonts w:eastAsia="Calibri"/>
          <w:sz w:val="28"/>
          <w:szCs w:val="28"/>
        </w:rPr>
        <w:t>Вблизи поверхности генерируется больше рентгеновского излучения, чем в изолированной тонкой пленке, т.к. отраженные электроны также способны возбуждать излучение при своем движении вверх, поэтому значение функции там больше единицы. После достижения максимума на некоторой глубине, интенсивность полого понижается до нуля из-за рассеяния и потерь энергии электронами пучка.</w:t>
      </w:r>
    </w:p>
    <w:p w14:paraId="1275EE0C">
      <w:pPr>
        <w:keepNext/>
        <w:spacing w:after="160" w:line="360" w:lineRule="auto"/>
        <w:jc w:val="center"/>
      </w:pPr>
      <w:r>
        <w:drawing>
          <wp:inline distT="0" distB="0" distL="0" distR="0">
            <wp:extent cx="3172460" cy="2521585"/>
            <wp:effectExtent l="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noChangeArrowheads="1"/>
                    </pic:cNvPicPr>
                  </pic:nvPicPr>
                  <pic:blipFill>
                    <a:blip r:embed="rId12"/>
                    <a:stretch>
                      <a:fillRect/>
                    </a:stretch>
                  </pic:blipFill>
                  <pic:spPr>
                    <a:xfrm>
                      <a:off x="0" y="0"/>
                      <a:ext cx="3172460" cy="2521585"/>
                    </a:xfrm>
                    <a:prstGeom prst="rect">
                      <a:avLst/>
                    </a:prstGeom>
                  </pic:spPr>
                </pic:pic>
              </a:graphicData>
            </a:graphic>
          </wp:inline>
        </w:drawing>
      </w:r>
    </w:p>
    <w:p w14:paraId="7DE859F1">
      <w:pPr>
        <w:pStyle w:val="35"/>
        <w:jc w:val="center"/>
        <w:rPr>
          <w:rFonts w:ascii="Times New Roman" w:hAnsi="Times New Roman" w:eastAsia="Calibri" w:cs="Times New Roman"/>
          <w:b w:val="0"/>
          <w:color w:val="auto"/>
          <w:sz w:val="28"/>
          <w:szCs w:val="28"/>
        </w:rPr>
      </w:pPr>
      <w:r>
        <w:rPr>
          <w:rFonts w:ascii="Times New Roman" w:hAnsi="Times New Roman" w:cs="Times New Roman"/>
          <w:b w:val="0"/>
          <w:i/>
          <w:color w:val="auto"/>
          <w:sz w:val="28"/>
          <w:szCs w:val="28"/>
        </w:rPr>
        <w:t>Рисунок 5.</w:t>
      </w:r>
      <w:r>
        <w:rPr>
          <w:rFonts w:ascii="Times New Roman" w:hAnsi="Times New Roman" w:cs="Times New Roman"/>
          <w:b w:val="0"/>
          <w:color w:val="auto"/>
          <w:sz w:val="28"/>
          <w:szCs w:val="28"/>
        </w:rPr>
        <w:t xml:space="preserve"> Функция φ(ρz) (фи-ро-зет), представляющая распределение возбужденного рентгеновского излучения по глубине.</w:t>
      </w:r>
    </w:p>
    <w:p w14:paraId="6D1E597E">
      <w:pPr>
        <w:spacing w:line="360" w:lineRule="auto"/>
        <w:ind w:firstLine="709"/>
        <w:jc w:val="both"/>
        <w:rPr>
          <w:color w:val="000000" w:themeColor="text1"/>
          <w:sz w:val="28"/>
          <w14:textFill>
            <w14:solidFill>
              <w14:schemeClr w14:val="tx1"/>
            </w14:solidFill>
          </w14:textFill>
        </w:rPr>
      </w:pPr>
      <w:r>
        <w:rPr>
          <w:color w:val="000000" w:themeColor="text1"/>
          <w:sz w:val="28"/>
          <w14:textFill>
            <w14:solidFill>
              <w14:schemeClr w14:val="tx1"/>
            </w14:solidFill>
          </w14:textFill>
        </w:rPr>
        <w:t>Информацию о форме кривой φ(ρz) и ее зависимости от различных параметров можно получить экспериментальным путем, либо путем моделирования методом Монте-Карло или с использованием теоретических расчетов. Факторы, определяющие точную форму кривой, связаны с поведением рассеивания и взаимодействий электронов в образце.</w:t>
      </w:r>
    </w:p>
    <w:p w14:paraId="1ED774C9">
      <w:pPr>
        <w:pStyle w:val="4"/>
        <w:spacing w:line="360" w:lineRule="auto"/>
        <w:jc w:val="both"/>
        <w:rPr>
          <w:rFonts w:cs="Times New Roman"/>
          <w:sz w:val="28"/>
          <w:szCs w:val="28"/>
        </w:rPr>
      </w:pPr>
      <w:bookmarkStart w:id="10" w:name="_Toc40530235"/>
      <w:bookmarkStart w:id="11" w:name="_Toc167999800"/>
      <w:r>
        <w:rPr>
          <w:rFonts w:cs="Times New Roman"/>
          <w:sz w:val="28"/>
          <w:szCs w:val="28"/>
        </w:rPr>
        <w:t>2.4.5 Матричные поправки</w:t>
      </w:r>
      <w:bookmarkEnd w:id="10"/>
      <w:bookmarkEnd w:id="11"/>
    </w:p>
    <w:p w14:paraId="0CC7648D">
      <w:pPr>
        <w:spacing w:after="160" w:line="360" w:lineRule="auto"/>
        <w:ind w:firstLine="709"/>
        <w:jc w:val="both"/>
        <w:rPr>
          <w:rFonts w:eastAsia="Calibri"/>
          <w:sz w:val="28"/>
          <w:szCs w:val="28"/>
        </w:rPr>
      </w:pPr>
      <w:r>
        <w:rPr>
          <w:rFonts w:eastAsia="Calibri"/>
          <w:sz w:val="28"/>
          <w:szCs w:val="28"/>
        </w:rPr>
        <w:t xml:space="preserve">Измеренная интенсивность рентгеновского излучения, генерируемого в образце, зависит не только от энергии и числа электронов, попадающих на образец, но также от некоторых свойств самого образца, называемых матричными эффектами </w:t>
      </w:r>
      <w:r>
        <w:rPr>
          <w:rFonts w:eastAsia="Calibri"/>
          <w:color w:val="000000" w:themeColor="text1"/>
          <w:sz w:val="28"/>
          <w:szCs w:val="28"/>
          <w14:textFill>
            <w14:solidFill>
              <w14:schemeClr w14:val="tx1"/>
            </w14:solidFill>
          </w14:textFill>
        </w:rPr>
        <w:t xml:space="preserve">[34]. </w:t>
      </w:r>
    </w:p>
    <w:p w14:paraId="269BF2CB">
      <w:pPr>
        <w:spacing w:after="160" w:line="360" w:lineRule="auto"/>
        <w:ind w:firstLine="709"/>
        <w:jc w:val="both"/>
        <w:rPr>
          <w:rFonts w:eastAsia="Calibri"/>
          <w:sz w:val="28"/>
          <w:szCs w:val="28"/>
        </w:rPr>
      </w:pPr>
      <w:r>
        <w:rPr>
          <w:rFonts w:eastAsia="Calibri"/>
          <w:sz w:val="28"/>
          <w:szCs w:val="28"/>
        </w:rPr>
        <w:t>Матричные поправки применяются для того, чтобы преобразовать измеренную интенсивность от образца по отношению к стандарту в фактическую концентрацию элемента. Для их правильного применения необходимо иметь информацию обо всех элементах в образце и стандарте, для расчета взаимных влияний.</w:t>
      </w:r>
    </w:p>
    <w:p w14:paraId="26B55DE7">
      <w:pPr>
        <w:spacing w:after="160" w:line="360" w:lineRule="auto"/>
        <w:ind w:firstLine="709"/>
        <w:jc w:val="both"/>
        <w:rPr>
          <w:rFonts w:eastAsia="Calibri"/>
          <w:sz w:val="28"/>
          <w:szCs w:val="28"/>
          <w:u w:val="single"/>
        </w:rPr>
      </w:pPr>
      <w:r>
        <w:rPr>
          <w:rFonts w:eastAsia="Calibri"/>
          <w:sz w:val="28"/>
          <w:szCs w:val="28"/>
          <w:u w:val="single"/>
        </w:rPr>
        <w:t>Поправка на поглощение</w:t>
      </w:r>
    </w:p>
    <w:p w14:paraId="28B7F110">
      <w:pPr>
        <w:spacing w:after="160" w:line="360" w:lineRule="auto"/>
        <w:ind w:firstLine="709"/>
        <w:jc w:val="both"/>
        <w:rPr>
          <w:rFonts w:eastAsia="Calibri"/>
          <w:sz w:val="28"/>
          <w:szCs w:val="28"/>
        </w:rPr>
      </w:pPr>
      <w:r>
        <w:rPr>
          <w:rFonts w:eastAsia="Calibri"/>
          <w:sz w:val="28"/>
          <w:szCs w:val="28"/>
        </w:rPr>
        <w:t xml:space="preserve">Перед тем как попасть в спектрометр, рентгеновское излучение проходит некоторый отрезок пути внутри образца. Часть излучения поглощается материалом образца, соответственно, не все генерированные рентгеновские лучи, описываемые кривой </w:t>
      </w:r>
      <w:r>
        <w:rPr>
          <w:rFonts w:eastAsia="Calibri"/>
          <w:i/>
          <w:sz w:val="28"/>
          <w:szCs w:val="28"/>
        </w:rPr>
        <w:t>ϕ</w:t>
      </w:r>
      <w:r>
        <w:rPr>
          <w:rFonts w:eastAsia="Calibri"/>
          <w:sz w:val="28"/>
          <w:szCs w:val="28"/>
        </w:rPr>
        <w:t>(</w:t>
      </w:r>
      <w:r>
        <w:rPr>
          <w:rFonts w:eastAsia="Calibri"/>
          <w:i/>
          <w:sz w:val="28"/>
          <w:szCs w:val="28"/>
        </w:rPr>
        <w:t>ρz</w:t>
      </w:r>
      <w:r>
        <w:rPr>
          <w:rFonts w:eastAsia="Calibri"/>
          <w:sz w:val="28"/>
          <w:szCs w:val="28"/>
        </w:rPr>
        <w:t xml:space="preserve">), будут зарегистрированы </w:t>
      </w:r>
      <w:r>
        <w:rPr>
          <w:rFonts w:eastAsia="Calibri"/>
          <w:color w:val="000000" w:themeColor="text1"/>
          <w:sz w:val="28"/>
          <w:szCs w:val="28"/>
          <w14:textFill>
            <w14:solidFill>
              <w14:schemeClr w14:val="tx1"/>
            </w14:solidFill>
          </w14:textFill>
        </w:rPr>
        <w:t xml:space="preserve">[34]. </w:t>
      </w:r>
      <w:r>
        <w:rPr>
          <w:rFonts w:eastAsia="Calibri"/>
          <w:sz w:val="28"/>
          <w:szCs w:val="28"/>
        </w:rPr>
        <w:t xml:space="preserve">Поэтому, если обозначить измеренную интенсивность как </w:t>
      </w:r>
      <w:r>
        <w:rPr>
          <w:rFonts w:eastAsia="Calibri"/>
          <w:i/>
          <w:sz w:val="28"/>
          <w:szCs w:val="28"/>
        </w:rPr>
        <w:t>I</w:t>
      </w:r>
      <w:r>
        <w:rPr>
          <w:rFonts w:eastAsia="Calibri"/>
          <w:sz w:val="28"/>
          <w:szCs w:val="28"/>
        </w:rPr>
        <w:t xml:space="preserve">, а сгенерированную на определенной глубине </w:t>
      </w:r>
      <w:r>
        <w:rPr>
          <w:rFonts w:eastAsia="Calibri"/>
          <w:i/>
          <w:sz w:val="28"/>
          <w:szCs w:val="28"/>
        </w:rPr>
        <w:t>z</w:t>
      </w:r>
      <w:r>
        <w:rPr>
          <w:rFonts w:eastAsia="Calibri"/>
          <w:sz w:val="28"/>
          <w:szCs w:val="28"/>
        </w:rPr>
        <w:t xml:space="preserve"> как </w:t>
      </w:r>
      <w:r>
        <w:rPr>
          <w:rFonts w:eastAsia="Calibri"/>
          <w:i/>
          <w:sz w:val="28"/>
          <w:szCs w:val="28"/>
        </w:rPr>
        <w:t>I</w:t>
      </w:r>
      <w:r>
        <w:rPr>
          <w:rFonts w:eastAsia="Calibri"/>
          <w:i/>
          <w:sz w:val="28"/>
          <w:szCs w:val="28"/>
          <w:vertAlign w:val="subscript"/>
        </w:rPr>
        <w:t>0</w:t>
      </w:r>
      <w:r>
        <w:rPr>
          <w:rFonts w:eastAsia="Calibri"/>
          <w:sz w:val="28"/>
          <w:szCs w:val="28"/>
        </w:rPr>
        <w:t>, то соотношение между ними будет описываться следующим выражением:</w:t>
      </w:r>
    </w:p>
    <w:p w14:paraId="4744AF2B">
      <w:pPr>
        <w:spacing w:after="160" w:line="360" w:lineRule="auto"/>
        <w:jc w:val="center"/>
        <w:rPr>
          <w:rFonts w:eastAsia="Calibri"/>
          <w:sz w:val="28"/>
          <w:szCs w:val="28"/>
        </w:rPr>
      </w:pPr>
      <m:oMathPara>
        <m:oMathParaPr>
          <m:jc m:val="center"/>
        </m:oMathParaPr>
        <m:oMath>
          <m:r>
            <m:rPr/>
            <w:rPr>
              <w:rFonts w:ascii="Cambria Math" w:hAnsi="Cambria Math"/>
            </w:rPr>
            <m:t>I=</m:t>
          </m:r>
          <m:sSub>
            <m:sSubPr>
              <m:ctrlPr>
                <w:rPr>
                  <w:rFonts w:ascii="Cambria Math" w:hAnsi="Cambria Math"/>
                </w:rPr>
              </m:ctrlPr>
            </m:sSubPr>
            <m:e>
              <m:r>
                <m:rPr/>
                <w:rPr>
                  <w:rFonts w:ascii="Cambria Math" w:hAnsi="Cambria Math"/>
                </w:rPr>
                <m:t>I</m:t>
              </m:r>
              <m:ctrlPr>
                <w:rPr>
                  <w:rFonts w:ascii="Cambria Math" w:hAnsi="Cambria Math"/>
                </w:rPr>
              </m:ctrlPr>
            </m:e>
            <m:sub>
              <m:r>
                <m:rPr/>
                <w:rPr>
                  <w:rFonts w:ascii="Cambria Math" w:hAnsi="Cambria Math"/>
                </w:rPr>
                <m:t>0</m:t>
              </m:r>
              <m:ctrlPr>
                <w:rPr>
                  <w:rFonts w:ascii="Cambria Math" w:hAnsi="Cambria Math"/>
                </w:rPr>
              </m:ctrlPr>
            </m:sub>
          </m:sSub>
          <m:r>
            <m:rPr/>
            <w:rPr>
              <w:rFonts w:ascii="Cambria Math" w:hAnsi="Cambria Math"/>
            </w:rPr>
            <m:t>∗exp</m:t>
          </m:r>
          <m:d>
            <m:dPr>
              <m:ctrlPr>
                <w:rPr>
                  <w:rFonts w:ascii="Cambria Math" w:hAnsi="Cambria Math"/>
                </w:rPr>
              </m:ctrlPr>
            </m:dPr>
            <m:e>
              <m:r>
                <m:rPr/>
                <w:rPr>
                  <w:rFonts w:ascii="Cambria Math" w:hAnsi="Cambria Math"/>
                </w:rPr>
                <m:t>−μρt</m:t>
              </m:r>
              <m:ctrlPr>
                <w:rPr>
                  <w:rFonts w:ascii="Cambria Math" w:hAnsi="Cambria Math"/>
                </w:rPr>
              </m:ctrlPr>
            </m:e>
          </m:d>
        </m:oMath>
      </m:oMathPara>
    </w:p>
    <w:p w14:paraId="4886D6FF">
      <w:pPr>
        <w:spacing w:after="160" w:line="360" w:lineRule="auto"/>
        <w:ind w:firstLine="709"/>
        <w:jc w:val="both"/>
        <w:rPr>
          <w:rFonts w:eastAsia="Calibri"/>
          <w:sz w:val="28"/>
          <w:szCs w:val="28"/>
        </w:rPr>
      </w:pPr>
      <w:r>
        <w:rPr>
          <w:rFonts w:eastAsia="Calibri"/>
          <w:sz w:val="28"/>
          <w:szCs w:val="28"/>
        </w:rPr>
        <w:t xml:space="preserve">где </w:t>
      </w:r>
      <w:r>
        <w:rPr>
          <w:rFonts w:eastAsia="Calibri"/>
          <w:i/>
          <w:sz w:val="28"/>
          <w:szCs w:val="28"/>
        </w:rPr>
        <w:t>μ</w:t>
      </w:r>
      <w:r>
        <w:rPr>
          <w:rFonts w:eastAsia="Calibri"/>
          <w:sz w:val="28"/>
          <w:szCs w:val="28"/>
        </w:rPr>
        <w:t xml:space="preserve"> - массовый коэффициент поглощения, </w:t>
      </w:r>
      <w:r>
        <w:rPr>
          <w:rFonts w:eastAsia="Calibri"/>
          <w:i/>
          <w:sz w:val="28"/>
          <w:szCs w:val="28"/>
        </w:rPr>
        <w:t>ρ</w:t>
      </w:r>
      <w:r>
        <w:rPr>
          <w:rFonts w:eastAsia="Calibri"/>
          <w:sz w:val="28"/>
          <w:szCs w:val="28"/>
        </w:rPr>
        <w:t xml:space="preserve"> – плотность, </w:t>
      </w:r>
      <w:r>
        <w:rPr>
          <w:rFonts w:eastAsia="Calibri"/>
          <w:i/>
          <w:sz w:val="28"/>
          <w:szCs w:val="28"/>
        </w:rPr>
        <w:t>t</w:t>
      </w:r>
      <w:r>
        <w:rPr>
          <w:rFonts w:eastAsia="Calibri"/>
          <w:sz w:val="28"/>
          <w:szCs w:val="28"/>
        </w:rPr>
        <w:t xml:space="preserve"> – путь, пройденный рентгеновским квантом до выхода с поверхности образца.</w:t>
      </w:r>
    </w:p>
    <w:p w14:paraId="716EAE76">
      <w:pPr>
        <w:spacing w:after="160" w:line="360" w:lineRule="auto"/>
        <w:ind w:firstLine="709"/>
        <w:jc w:val="both"/>
        <w:rPr>
          <w:rFonts w:eastAsia="Calibri"/>
          <w:sz w:val="28"/>
          <w:szCs w:val="28"/>
        </w:rPr>
      </w:pPr>
      <w:r>
        <w:rPr>
          <w:rFonts w:eastAsia="Calibri"/>
          <w:sz w:val="28"/>
          <w:szCs w:val="28"/>
        </w:rPr>
        <w:t xml:space="preserve">Рентгеновское поглощение вносит наиболее значительный вклад в величину матричной поправки и его совершенно необходимо учитывать при количественном анализе. </w:t>
      </w:r>
    </w:p>
    <w:p w14:paraId="5CDA020A">
      <w:pPr>
        <w:spacing w:after="160" w:line="360" w:lineRule="auto"/>
        <w:ind w:firstLine="709"/>
        <w:jc w:val="both"/>
        <w:rPr>
          <w:rFonts w:eastAsia="Calibri"/>
          <w:sz w:val="28"/>
          <w:szCs w:val="28"/>
        </w:rPr>
      </w:pPr>
      <w:r>
        <w:rPr>
          <w:rFonts w:eastAsia="Calibri"/>
          <w:sz w:val="28"/>
          <w:szCs w:val="28"/>
        </w:rPr>
        <w:t>Длина пути, который проходят рентгеновские кванты из области взаимодействия с электронами, зависит от угла, под которым расположен детектор, от наклона поверхности образца по отношению к детектору и от топографии поверхности.</w:t>
      </w:r>
    </w:p>
    <w:p w14:paraId="5C2EF693">
      <w:pPr>
        <w:spacing w:after="160" w:line="360" w:lineRule="auto"/>
        <w:jc w:val="both"/>
        <w:rPr>
          <w:rFonts w:eastAsia="Calibri"/>
          <w:sz w:val="28"/>
          <w:szCs w:val="28"/>
          <w:u w:val="single"/>
        </w:rPr>
      </w:pPr>
      <w:r>
        <w:rPr>
          <w:rFonts w:eastAsia="Calibri"/>
          <w:sz w:val="28"/>
          <w:szCs w:val="28"/>
          <w:u w:val="single"/>
        </w:rPr>
        <w:t>Поправка на атомный номер</w:t>
      </w:r>
    </w:p>
    <w:p w14:paraId="0E538893">
      <w:pPr>
        <w:spacing w:after="160" w:line="360" w:lineRule="auto"/>
        <w:ind w:firstLine="709"/>
        <w:jc w:val="both"/>
        <w:rPr>
          <w:rFonts w:eastAsia="Calibri"/>
          <w:sz w:val="28"/>
          <w:szCs w:val="28"/>
        </w:rPr>
      </w:pPr>
      <w:r>
        <w:rPr>
          <w:rFonts w:eastAsia="Calibri"/>
          <w:sz w:val="28"/>
          <w:szCs w:val="28"/>
        </w:rPr>
        <w:t xml:space="preserve">Атомный номер материала и энергия падающего пучка электронов значительно влияют как на число электронов, испытавших обратное рассеяние и покинувших образец, так и на эффективность, с которой электроны теряют энергию внутри образца. Оба фактора влияют в свою очередь на число рентгеновских фотонов, генерируемых внутри объема взаимодействия на данной глубине и таким образом определяют форму и площадь кривой </w:t>
      </w:r>
      <w:r>
        <w:rPr>
          <w:rFonts w:eastAsia="Calibri"/>
          <w:i/>
          <w:sz w:val="28"/>
          <w:szCs w:val="28"/>
        </w:rPr>
        <w:t>ϕ</w:t>
      </w:r>
      <w:r>
        <w:rPr>
          <w:rFonts w:eastAsia="Calibri"/>
          <w:sz w:val="28"/>
          <w:szCs w:val="28"/>
        </w:rPr>
        <w:t>(</w:t>
      </w:r>
      <w:r>
        <w:rPr>
          <w:rFonts w:eastAsia="Calibri"/>
          <w:i/>
          <w:sz w:val="28"/>
          <w:szCs w:val="28"/>
        </w:rPr>
        <w:t>ρz</w:t>
      </w:r>
      <w:r>
        <w:rPr>
          <w:rFonts w:eastAsia="Calibri"/>
          <w:sz w:val="28"/>
          <w:szCs w:val="28"/>
        </w:rPr>
        <w:t>), описывающей соответствующую суммарную интенсивность излучения.</w:t>
      </w:r>
    </w:p>
    <w:p w14:paraId="592B00A3">
      <w:pPr>
        <w:spacing w:after="160" w:line="360" w:lineRule="auto"/>
        <w:ind w:firstLine="709"/>
        <w:jc w:val="both"/>
        <w:rPr>
          <w:rFonts w:eastAsia="Calibri"/>
          <w:sz w:val="28"/>
          <w:szCs w:val="28"/>
        </w:rPr>
      </w:pPr>
      <w:r>
        <w:rPr>
          <w:rFonts w:eastAsia="Calibri"/>
          <w:sz w:val="28"/>
          <w:szCs w:val="28"/>
        </w:rPr>
        <w:t>Величина поправки на атомный номер достигает максимальных значений при расчете концентрации легких элементов в тяжелой матрице.</w:t>
      </w:r>
    </w:p>
    <w:p w14:paraId="7E0F6419">
      <w:pPr>
        <w:spacing w:after="160" w:line="360" w:lineRule="auto"/>
        <w:jc w:val="both"/>
        <w:rPr>
          <w:rFonts w:eastAsia="Calibri"/>
          <w:sz w:val="28"/>
          <w:szCs w:val="28"/>
          <w:u w:val="single"/>
        </w:rPr>
      </w:pPr>
      <w:r>
        <w:rPr>
          <w:rFonts w:eastAsia="Calibri"/>
          <w:sz w:val="28"/>
          <w:szCs w:val="28"/>
          <w:u w:val="single"/>
        </w:rPr>
        <w:t>Поправка на флуоресценцию</w:t>
      </w:r>
    </w:p>
    <w:p w14:paraId="477DBAE5">
      <w:pPr>
        <w:spacing w:after="160" w:line="360" w:lineRule="auto"/>
        <w:ind w:firstLine="709"/>
        <w:jc w:val="both"/>
        <w:rPr>
          <w:rFonts w:eastAsia="Calibri"/>
          <w:sz w:val="28"/>
          <w:szCs w:val="28"/>
        </w:rPr>
      </w:pPr>
      <w:r>
        <w:rPr>
          <w:rFonts w:eastAsia="Calibri"/>
          <w:sz w:val="28"/>
          <w:szCs w:val="28"/>
        </w:rPr>
        <w:t xml:space="preserve">Флуоресценция – вторичное возбуждение - возникает в результате ионизации атомных оболочек рентгеновскими фотонами, а не электронами. В результате наблюдается эмиссия характеристических рентгеновских лучей. Их вклад в рентгеновский спектр является дополнительным к рентгеновскому излучению, возникшему под воздействием непосредственно электронов. Поскольку вклад флуоресценции на образце и стандарте обычно различный, необходимо вносить поправку на флуоресценцию </w:t>
      </w:r>
      <w:r>
        <w:rPr>
          <w:rFonts w:eastAsia="Calibri"/>
          <w:color w:val="000000" w:themeColor="text1"/>
          <w:sz w:val="28"/>
          <w:szCs w:val="28"/>
          <w14:textFill>
            <w14:solidFill>
              <w14:schemeClr w14:val="tx1"/>
            </w14:solidFill>
          </w14:textFill>
        </w:rPr>
        <w:t>[3</w:t>
      </w:r>
      <w:r>
        <w:rPr>
          <w:rFonts w:eastAsia="Calibri"/>
          <w:color w:val="000000" w:themeColor="text1"/>
          <w:sz w:val="28"/>
          <w:szCs w:val="28"/>
          <w:lang w:val="en-US"/>
          <w14:textFill>
            <w14:solidFill>
              <w14:schemeClr w14:val="tx1"/>
            </w14:solidFill>
          </w14:textFill>
        </w:rPr>
        <w:t>4</w:t>
      </w:r>
      <w:r>
        <w:rPr>
          <w:rFonts w:eastAsia="Calibri"/>
          <w:color w:val="000000" w:themeColor="text1"/>
          <w:sz w:val="28"/>
          <w:szCs w:val="28"/>
          <w14:textFill>
            <w14:solidFill>
              <w14:schemeClr w14:val="tx1"/>
            </w14:solidFill>
          </w14:textFill>
        </w:rPr>
        <w:t xml:space="preserve">]. </w:t>
      </w:r>
      <w:r>
        <w:rPr>
          <w:rFonts w:eastAsia="Calibri"/>
          <w:sz w:val="28"/>
          <w:szCs w:val="28"/>
        </w:rPr>
        <w:t>Флуоресценция проявляется только если энергия рентгеновского фотона превышает энергию критического возбуждения. Вклад во флуоресценцию вносит как излучение тормозного фона, так и характеристическое излучение, но доминирует вклад последнего. Обычно поправка на флуоресценцию наименее значительная по сравнению с поправками на атомный номер и поглощение.</w:t>
      </w:r>
    </w:p>
    <w:p w14:paraId="1F05F866">
      <w:pPr>
        <w:spacing w:after="160" w:line="360" w:lineRule="auto"/>
        <w:jc w:val="both"/>
        <w:rPr>
          <w:rFonts w:eastAsia="Calibri"/>
          <w:sz w:val="28"/>
          <w:szCs w:val="28"/>
          <w:u w:val="single"/>
        </w:rPr>
      </w:pPr>
      <w:r>
        <w:rPr>
          <w:rFonts w:eastAsia="Calibri"/>
          <w:sz w:val="28"/>
          <w:szCs w:val="28"/>
          <w:u w:val="single"/>
        </w:rPr>
        <w:t>Метод коррекции XPP</w:t>
      </w:r>
    </w:p>
    <w:p w14:paraId="1FFA9D81">
      <w:pPr>
        <w:spacing w:after="160" w:line="360" w:lineRule="auto"/>
        <w:ind w:firstLine="709"/>
        <w:jc w:val="both"/>
        <w:rPr>
          <w:rFonts w:eastAsia="Calibri"/>
          <w:sz w:val="28"/>
          <w:szCs w:val="28"/>
        </w:rPr>
      </w:pPr>
      <w:r>
        <w:rPr>
          <w:rFonts w:eastAsia="Calibri"/>
          <w:sz w:val="28"/>
          <w:szCs w:val="28"/>
        </w:rPr>
        <w:t xml:space="preserve">В литературе описываются различные приближения для процедур расчета матричных поправок, наиболее распространенные это ZAF и </w:t>
      </w:r>
      <w:r>
        <w:rPr>
          <w:rFonts w:eastAsia="Calibri"/>
          <w:color w:val="000000" w:themeColor="text1"/>
          <w:sz w:val="28"/>
          <w:szCs w:val="28"/>
          <w14:textFill>
            <w14:solidFill>
              <w14:schemeClr w14:val="tx1"/>
            </w14:solidFill>
          </w14:textFill>
        </w:rPr>
        <w:t xml:space="preserve">Phi-Rho-Z. </w:t>
      </w:r>
      <w:r>
        <w:rPr>
          <w:rFonts w:eastAsia="Calibri"/>
          <w:sz w:val="28"/>
          <w:szCs w:val="28"/>
        </w:rPr>
        <w:t xml:space="preserve">Программное обеспечение INCA Energy [36] использует схему коррекции матричных эффектов XPP, разработанную Pouchou и Pichoir. Это подход на основе метода Phi-Rho-Z, в котором используются экспоненциальные функции для описания формы кривой </w:t>
      </w:r>
      <w:r>
        <w:rPr>
          <w:rFonts w:eastAsia="Calibri"/>
          <w:i/>
          <w:sz w:val="28"/>
          <w:szCs w:val="28"/>
        </w:rPr>
        <w:t>ϕ</w:t>
      </w:r>
      <w:r>
        <w:rPr>
          <w:rFonts w:eastAsia="Calibri"/>
          <w:sz w:val="28"/>
          <w:szCs w:val="28"/>
        </w:rPr>
        <w:t>(</w:t>
      </w:r>
      <w:r>
        <w:rPr>
          <w:rFonts w:eastAsia="Calibri"/>
          <w:i/>
          <w:sz w:val="28"/>
          <w:szCs w:val="28"/>
        </w:rPr>
        <w:t>ρz</w:t>
      </w:r>
      <w:r>
        <w:rPr>
          <w:rFonts w:eastAsia="Calibri"/>
          <w:sz w:val="28"/>
          <w:szCs w:val="28"/>
        </w:rPr>
        <w:t xml:space="preserve">). Поправки на атомный номер и эффект поглощения входят в интегрированную модель для </w:t>
      </w:r>
      <w:r>
        <w:rPr>
          <w:rFonts w:eastAsia="Calibri"/>
          <w:i/>
          <w:sz w:val="28"/>
          <w:szCs w:val="28"/>
        </w:rPr>
        <w:t>ϕ</w:t>
      </w:r>
      <w:r>
        <w:rPr>
          <w:rFonts w:eastAsia="Calibri"/>
          <w:sz w:val="28"/>
          <w:szCs w:val="28"/>
        </w:rPr>
        <w:t>(</w:t>
      </w:r>
      <w:r>
        <w:rPr>
          <w:rFonts w:eastAsia="Calibri"/>
          <w:i/>
          <w:sz w:val="28"/>
          <w:szCs w:val="28"/>
        </w:rPr>
        <w:t>ρz</w:t>
      </w:r>
      <w:r>
        <w:rPr>
          <w:rFonts w:eastAsia="Calibri"/>
          <w:sz w:val="28"/>
          <w:szCs w:val="28"/>
        </w:rPr>
        <w:t>).</w:t>
      </w:r>
    </w:p>
    <w:p w14:paraId="16F50949">
      <w:pPr>
        <w:spacing w:after="160" w:line="360" w:lineRule="auto"/>
        <w:ind w:firstLine="709"/>
        <w:jc w:val="both"/>
        <w:rPr>
          <w:rFonts w:eastAsia="Calibri"/>
          <w:sz w:val="28"/>
          <w:szCs w:val="28"/>
        </w:rPr>
      </w:pPr>
      <w:r>
        <w:rPr>
          <w:rFonts w:eastAsia="Calibri"/>
          <w:sz w:val="28"/>
          <w:szCs w:val="28"/>
        </w:rPr>
        <w:t>Метод коррекции XPP был выбран из-за хорошей точности расчетов, в особенности, для случаев сильного поглощения, таких как анализ легких элементов в тяжелой матрице. Более того, метод XPP позволяет вычислять коррекцию матричных эффектов для образца, наклонного по отношению к падающему электронному пучку.</w:t>
      </w:r>
    </w:p>
    <w:p w14:paraId="5BE8C7DF">
      <w:pPr>
        <w:spacing w:after="160" w:line="360" w:lineRule="auto"/>
        <w:ind w:firstLine="709"/>
        <w:jc w:val="both"/>
        <w:rPr>
          <w:rFonts w:eastAsia="Calibri"/>
          <w:sz w:val="28"/>
          <w:szCs w:val="28"/>
        </w:rPr>
      </w:pPr>
      <w:r>
        <w:rPr>
          <w:rFonts w:eastAsia="Calibri"/>
          <w:sz w:val="28"/>
          <w:szCs w:val="28"/>
        </w:rPr>
        <w:t>Факторы коррекции зависят от состава образца, а именно его мы и пытаемся определить. То есть, зная состав образца, можно определить факторы коррекции и рассчитать относительную интенсивность характеристического рентгеновского излучения элементов, входящих в образец (</w:t>
      </w:r>
      <w:r>
        <w:rPr>
          <w:rFonts w:eastAsia="Calibri"/>
          <w:i/>
          <w:sz w:val="28"/>
          <w:szCs w:val="28"/>
        </w:rPr>
        <w:t>I</w:t>
      </w:r>
      <w:r>
        <w:rPr>
          <w:rFonts w:eastAsia="Calibri"/>
          <w:i/>
          <w:sz w:val="28"/>
          <w:szCs w:val="28"/>
          <w:vertAlign w:val="subscript"/>
        </w:rPr>
        <w:t>относит.</w:t>
      </w:r>
      <w:r>
        <w:rPr>
          <w:rFonts w:eastAsia="Calibri"/>
          <w:sz w:val="28"/>
          <w:szCs w:val="28"/>
        </w:rPr>
        <w:t>=</w:t>
      </w:r>
      <w:r>
        <w:rPr>
          <w:rFonts w:eastAsia="Calibri"/>
          <w:i/>
          <w:sz w:val="28"/>
          <w:szCs w:val="28"/>
        </w:rPr>
        <w:t>I</w:t>
      </w:r>
      <w:r>
        <w:rPr>
          <w:rFonts w:eastAsia="Calibri"/>
          <w:i/>
          <w:sz w:val="28"/>
          <w:szCs w:val="28"/>
          <w:vertAlign w:val="subscript"/>
        </w:rPr>
        <w:t>образца</w:t>
      </w:r>
      <w:r>
        <w:rPr>
          <w:rFonts w:eastAsia="Calibri"/>
          <w:sz w:val="28"/>
          <w:szCs w:val="28"/>
        </w:rPr>
        <w:t>/</w:t>
      </w:r>
      <w:r>
        <w:rPr>
          <w:rFonts w:eastAsia="Calibri"/>
          <w:i/>
          <w:sz w:val="28"/>
          <w:szCs w:val="28"/>
        </w:rPr>
        <w:t>I</w:t>
      </w:r>
      <w:r>
        <w:rPr>
          <w:rFonts w:eastAsia="Calibri"/>
          <w:i/>
          <w:sz w:val="28"/>
          <w:szCs w:val="28"/>
          <w:vertAlign w:val="subscript"/>
        </w:rPr>
        <w:t>стандарта</w:t>
      </w:r>
      <w:r>
        <w:rPr>
          <w:rFonts w:eastAsia="Calibri"/>
          <w:sz w:val="28"/>
          <w:szCs w:val="28"/>
        </w:rPr>
        <w:t>). А наоборот, определив относительную интенсивность излучения элементов образца, рассчитать концентрацию компонентов напрямую невозможно. Как же определить концентрацию элементов исходя из измеренной интенсивности их характеристического излучения?</w:t>
      </w:r>
    </w:p>
    <w:p w14:paraId="535EFC0F">
      <w:pPr>
        <w:pStyle w:val="4"/>
        <w:spacing w:line="360" w:lineRule="auto"/>
        <w:jc w:val="both"/>
        <w:rPr>
          <w:rFonts w:cs="Times New Roman"/>
          <w:sz w:val="28"/>
          <w:szCs w:val="28"/>
        </w:rPr>
      </w:pPr>
      <w:bookmarkStart w:id="12" w:name="_Toc40530236"/>
      <w:bookmarkStart w:id="13" w:name="_Toc167999801"/>
      <w:r>
        <w:rPr>
          <w:rFonts w:cs="Times New Roman"/>
          <w:sz w:val="28"/>
          <w:szCs w:val="28"/>
        </w:rPr>
        <w:t>2.4.7 Эффекты, влияющие на точность количественного анализа</w:t>
      </w:r>
      <w:bookmarkEnd w:id="12"/>
      <w:bookmarkEnd w:id="13"/>
    </w:p>
    <w:p w14:paraId="482868E3">
      <w:pPr>
        <w:spacing w:after="160" w:line="360" w:lineRule="auto"/>
        <w:ind w:firstLine="709"/>
        <w:jc w:val="both"/>
        <w:rPr>
          <w:rFonts w:eastAsia="Calibri"/>
          <w:sz w:val="28"/>
          <w:szCs w:val="28"/>
          <w:u w:val="single"/>
        </w:rPr>
      </w:pPr>
      <w:r>
        <w:rPr>
          <w:rFonts w:eastAsia="Calibri"/>
          <w:sz w:val="28"/>
          <w:szCs w:val="28"/>
          <w:u w:val="single"/>
        </w:rPr>
        <w:t>Состояние поверхности и пористость</w:t>
      </w:r>
    </w:p>
    <w:p w14:paraId="5E2CAB31">
      <w:pPr>
        <w:spacing w:after="160" w:line="360" w:lineRule="auto"/>
        <w:ind w:firstLine="709"/>
        <w:jc w:val="both"/>
        <w:rPr>
          <w:rFonts w:eastAsia="Calibri"/>
          <w:sz w:val="28"/>
          <w:szCs w:val="28"/>
        </w:rPr>
      </w:pPr>
      <w:r>
        <w:rPr>
          <w:rFonts w:eastAsia="Calibri"/>
          <w:sz w:val="28"/>
          <w:szCs w:val="28"/>
        </w:rPr>
        <w:t xml:space="preserve">На точность определения состава образца в первую очередь влияет качество пробоподготовки </w:t>
      </w:r>
      <w:r>
        <w:rPr>
          <w:rFonts w:eastAsia="Calibri"/>
          <w:color w:val="000000" w:themeColor="text1"/>
          <w:sz w:val="28"/>
          <w:szCs w:val="28"/>
          <w14:textFill>
            <w14:solidFill>
              <w14:schemeClr w14:val="tx1"/>
            </w14:solidFill>
          </w14:textFill>
        </w:rPr>
        <w:t xml:space="preserve">[34]. </w:t>
      </w:r>
      <w:r>
        <w:rPr>
          <w:rFonts w:eastAsia="Calibri"/>
          <w:sz w:val="28"/>
          <w:szCs w:val="28"/>
        </w:rPr>
        <w:t>Образец для электронно-зондового микроанализа должен быть электропроводным, не содержать пор и поверхностных загрязнений, полированным, иметь плоскую поверхность и площадь не более 2-3 мм</w:t>
      </w:r>
      <w:r>
        <w:rPr>
          <w:rFonts w:eastAsia="Calibri"/>
          <w:sz w:val="28"/>
          <w:szCs w:val="28"/>
          <w:vertAlign w:val="superscript"/>
        </w:rPr>
        <w:t>2</w:t>
      </w:r>
      <w:r>
        <w:rPr>
          <w:rFonts w:eastAsia="Calibri"/>
          <w:sz w:val="28"/>
          <w:szCs w:val="28"/>
        </w:rPr>
        <w:t>. Последнее особенно важно при исследовании магнитных образцов, поскольку магнитное поле будет отклонять электронный пучок, изменяя угол выхода электронов, величина которого входит в функцию для расчета поправок.</w:t>
      </w:r>
    </w:p>
    <w:p w14:paraId="15E2DEC7">
      <w:pPr>
        <w:spacing w:after="160" w:line="360" w:lineRule="auto"/>
        <w:ind w:firstLine="709"/>
        <w:jc w:val="both"/>
        <w:rPr>
          <w:rFonts w:eastAsia="Calibri"/>
          <w:sz w:val="28"/>
          <w:szCs w:val="28"/>
        </w:rPr>
      </w:pPr>
      <w:r>
        <w:rPr>
          <w:rFonts w:eastAsia="Calibri"/>
          <w:sz w:val="28"/>
          <w:szCs w:val="28"/>
        </w:rPr>
        <w:t>Низкая электропроводность приводит к накоплению поверхностного заряда, что в свою очередь вызывает расфокусировку электронного луча. В результате измерение будет осуществляться со значительно большей площади, чем планировалось оператором.</w:t>
      </w:r>
    </w:p>
    <w:p w14:paraId="13BAED29">
      <w:pPr>
        <w:spacing w:after="160" w:line="360" w:lineRule="auto"/>
        <w:jc w:val="both"/>
        <w:rPr>
          <w:rFonts w:eastAsia="Calibri"/>
          <w:sz w:val="28"/>
          <w:szCs w:val="28"/>
          <w:u w:val="single"/>
        </w:rPr>
      </w:pPr>
      <w:r>
        <w:rPr>
          <w:rFonts w:eastAsia="Calibri"/>
          <w:sz w:val="28"/>
          <w:szCs w:val="28"/>
          <w:u w:val="single"/>
        </w:rPr>
        <w:t>Микронеоднородность</w:t>
      </w:r>
    </w:p>
    <w:p w14:paraId="472D3489">
      <w:pPr>
        <w:spacing w:after="160" w:line="360" w:lineRule="auto"/>
        <w:ind w:firstLine="709"/>
        <w:jc w:val="both"/>
        <w:rPr>
          <w:rFonts w:eastAsia="Calibri"/>
          <w:sz w:val="28"/>
          <w:szCs w:val="28"/>
        </w:rPr>
      </w:pPr>
      <w:r>
        <w:rPr>
          <w:rFonts w:eastAsia="Calibri"/>
          <w:sz w:val="28"/>
          <w:szCs w:val="28"/>
        </w:rPr>
        <w:t>При исследовании многофазных образцов возникают дополнительные проблемы, которые необходимо учитывать. При определении состава фаз в многофазных образцах необходимо особое внимание уделять статистике, проводить измерения в большем количестве точек по сравнению с гомогенными образцами, добиваясь совпадающих результатов.</w:t>
      </w:r>
    </w:p>
    <w:p w14:paraId="575B5B9E">
      <w:pPr>
        <w:spacing w:after="160" w:line="360" w:lineRule="auto"/>
        <w:jc w:val="both"/>
        <w:rPr>
          <w:rFonts w:eastAsia="Calibri"/>
          <w:sz w:val="28"/>
          <w:szCs w:val="28"/>
          <w:u w:val="single"/>
        </w:rPr>
      </w:pPr>
      <w:r>
        <w:rPr>
          <w:rFonts w:eastAsia="Calibri"/>
          <w:sz w:val="28"/>
          <w:szCs w:val="28"/>
          <w:u w:val="single"/>
        </w:rPr>
        <w:t>Наложение пиков</w:t>
      </w:r>
    </w:p>
    <w:p w14:paraId="76881C90">
      <w:pPr>
        <w:spacing w:after="160" w:line="360" w:lineRule="auto"/>
        <w:ind w:firstLine="709"/>
        <w:jc w:val="both"/>
        <w:rPr>
          <w:rFonts w:eastAsia="Calibri"/>
          <w:sz w:val="28"/>
          <w:szCs w:val="28"/>
        </w:rPr>
      </w:pPr>
      <w:r>
        <w:rPr>
          <w:rFonts w:eastAsia="Calibri"/>
          <w:sz w:val="28"/>
          <w:szCs w:val="28"/>
        </w:rPr>
        <w:t>Значительные ошибки при определении количественного состава образцов происходят из-за наложения характеристических линий одного элемента на спектр другого. Особенно это важно при использовании энергодисперсионного детектора, который имеет более низкую по сравнению с волновым разрешающую способность.</w:t>
      </w:r>
    </w:p>
    <w:p w14:paraId="6B9C0DF4">
      <w:pPr>
        <w:spacing w:after="160" w:line="360" w:lineRule="auto"/>
        <w:jc w:val="both"/>
        <w:rPr>
          <w:rFonts w:eastAsia="Calibri"/>
          <w:sz w:val="28"/>
          <w:szCs w:val="28"/>
          <w:u w:val="single"/>
        </w:rPr>
      </w:pPr>
      <w:r>
        <w:rPr>
          <w:rFonts w:eastAsia="Calibri"/>
          <w:sz w:val="28"/>
          <w:szCs w:val="28"/>
          <w:u w:val="single"/>
        </w:rPr>
        <w:t>Программные ошибки</w:t>
      </w:r>
    </w:p>
    <w:p w14:paraId="57535D43">
      <w:pPr>
        <w:spacing w:after="160" w:line="360" w:lineRule="auto"/>
        <w:ind w:firstLine="709"/>
        <w:jc w:val="both"/>
        <w:rPr>
          <w:rFonts w:eastAsia="Calibri"/>
          <w:sz w:val="28"/>
          <w:szCs w:val="28"/>
        </w:rPr>
      </w:pPr>
      <w:r>
        <w:rPr>
          <w:rFonts w:eastAsia="Calibri"/>
          <w:sz w:val="28"/>
          <w:szCs w:val="28"/>
        </w:rPr>
        <w:t>В программу для расчета концентраций методом итераций для нахождения факторов коррекции</w:t>
      </w:r>
      <w:r>
        <w:t xml:space="preserve"> </w:t>
      </w:r>
      <w:r>
        <w:rPr>
          <w:rFonts w:eastAsia="Calibri"/>
          <w:sz w:val="28"/>
          <w:szCs w:val="28"/>
        </w:rPr>
        <w:t>заложены определенные допуски: состав образца, ускоряющее напряжение, ток зонда, время обработки импульсов и время набора импульсов. Исходя из этих параметров, прибор может синтезировать спектр характеристического излучения образца.</w:t>
      </w:r>
    </w:p>
    <w:p w14:paraId="3570FFB8">
      <w:pPr>
        <w:spacing w:after="160" w:line="360" w:lineRule="auto"/>
        <w:ind w:firstLine="709"/>
        <w:jc w:val="both"/>
        <w:rPr>
          <w:rFonts w:eastAsia="Calibri"/>
          <w:sz w:val="28"/>
          <w:szCs w:val="28"/>
        </w:rPr>
      </w:pPr>
      <w:r>
        <w:rPr>
          <w:rFonts w:eastAsia="Calibri"/>
          <w:sz w:val="28"/>
          <w:szCs w:val="28"/>
        </w:rPr>
        <w:t>Полученный спектр можно обработать и рассчитать состав образца уже исходя из синтезированного спектра. Завышение или занижение определяемой концентрации по сравнению с заданной также связано с расчетом факторов коррекции. Избежать подобных явлений можно с помощью стандартизации образцов перед началом работы.</w:t>
      </w:r>
    </w:p>
    <w:p w14:paraId="1441FB72">
      <w:pPr>
        <w:spacing w:after="160" w:line="360" w:lineRule="auto"/>
        <w:ind w:firstLine="709"/>
        <w:jc w:val="both"/>
        <w:rPr>
          <w:rFonts w:eastAsia="Calibri"/>
          <w:sz w:val="28"/>
          <w:szCs w:val="28"/>
        </w:rPr>
      </w:pPr>
    </w:p>
    <w:p w14:paraId="761B6AC6">
      <w:pPr>
        <w:spacing w:after="160" w:line="360" w:lineRule="auto"/>
        <w:ind w:firstLine="709"/>
        <w:jc w:val="both"/>
        <w:rPr>
          <w:rFonts w:eastAsia="Calibri"/>
          <w:sz w:val="28"/>
          <w:szCs w:val="28"/>
        </w:rPr>
      </w:pPr>
    </w:p>
    <w:p w14:paraId="18D80714">
      <w:pPr>
        <w:spacing w:after="160" w:line="360" w:lineRule="auto"/>
        <w:ind w:firstLine="709"/>
        <w:jc w:val="both"/>
        <w:rPr>
          <w:rFonts w:eastAsia="Calibri"/>
          <w:sz w:val="28"/>
          <w:szCs w:val="28"/>
        </w:rPr>
      </w:pPr>
    </w:p>
    <w:p w14:paraId="411B8278">
      <w:pPr>
        <w:spacing w:after="160" w:line="360" w:lineRule="auto"/>
        <w:ind w:firstLine="709"/>
        <w:jc w:val="both"/>
        <w:rPr>
          <w:rFonts w:eastAsia="Calibri"/>
          <w:sz w:val="28"/>
          <w:szCs w:val="28"/>
        </w:rPr>
      </w:pPr>
    </w:p>
    <w:p w14:paraId="7B5554AA">
      <w:pPr>
        <w:spacing w:after="160" w:line="360" w:lineRule="auto"/>
        <w:ind w:firstLine="709"/>
        <w:jc w:val="both"/>
        <w:rPr>
          <w:rFonts w:eastAsia="Calibri"/>
          <w:sz w:val="28"/>
          <w:szCs w:val="28"/>
        </w:rPr>
      </w:pPr>
    </w:p>
    <w:p w14:paraId="2CF40483">
      <w:pPr>
        <w:spacing w:after="160" w:line="360" w:lineRule="auto"/>
        <w:ind w:firstLine="709"/>
        <w:jc w:val="both"/>
        <w:rPr>
          <w:rFonts w:eastAsia="Calibri"/>
          <w:sz w:val="28"/>
          <w:szCs w:val="28"/>
        </w:rPr>
      </w:pPr>
    </w:p>
    <w:p w14:paraId="1955BACF">
      <w:pPr>
        <w:spacing w:after="160" w:line="360" w:lineRule="auto"/>
        <w:ind w:firstLine="709"/>
        <w:jc w:val="both"/>
        <w:rPr>
          <w:rFonts w:eastAsia="Calibri"/>
          <w:sz w:val="28"/>
          <w:szCs w:val="28"/>
        </w:rPr>
      </w:pPr>
    </w:p>
    <w:p w14:paraId="13785216">
      <w:pPr>
        <w:spacing w:after="160" w:line="360" w:lineRule="auto"/>
        <w:ind w:firstLine="709"/>
        <w:jc w:val="both"/>
        <w:rPr>
          <w:rFonts w:eastAsia="Calibri"/>
          <w:sz w:val="28"/>
          <w:szCs w:val="28"/>
        </w:rPr>
      </w:pPr>
    </w:p>
    <w:p w14:paraId="7CD8C2F3">
      <w:pPr>
        <w:spacing w:after="160" w:line="360" w:lineRule="auto"/>
        <w:ind w:firstLine="709"/>
        <w:jc w:val="both"/>
        <w:rPr>
          <w:rFonts w:eastAsia="Calibri"/>
          <w:sz w:val="28"/>
          <w:szCs w:val="28"/>
        </w:rPr>
      </w:pPr>
    </w:p>
    <w:p w14:paraId="4943D9AF">
      <w:pPr>
        <w:spacing w:after="160" w:line="360" w:lineRule="auto"/>
        <w:ind w:firstLine="709"/>
        <w:jc w:val="both"/>
        <w:rPr>
          <w:rFonts w:eastAsia="Calibri"/>
          <w:sz w:val="28"/>
          <w:szCs w:val="28"/>
        </w:rPr>
      </w:pPr>
    </w:p>
    <w:p w14:paraId="285C7871">
      <w:pPr>
        <w:spacing w:after="160" w:line="360" w:lineRule="auto"/>
        <w:ind w:firstLine="709"/>
        <w:jc w:val="both"/>
        <w:rPr>
          <w:rFonts w:eastAsia="Calibri"/>
          <w:sz w:val="28"/>
          <w:szCs w:val="28"/>
        </w:rPr>
      </w:pPr>
    </w:p>
    <w:p w14:paraId="4FEC7465">
      <w:pPr>
        <w:spacing w:after="160" w:line="360" w:lineRule="auto"/>
        <w:ind w:firstLine="709"/>
        <w:jc w:val="both"/>
        <w:rPr>
          <w:rFonts w:eastAsia="Calibri"/>
          <w:sz w:val="28"/>
          <w:szCs w:val="28"/>
        </w:rPr>
      </w:pPr>
    </w:p>
    <w:p w14:paraId="6C1B673C">
      <w:pPr>
        <w:spacing w:after="160" w:line="360" w:lineRule="auto"/>
        <w:ind w:firstLine="709"/>
        <w:jc w:val="both"/>
        <w:rPr>
          <w:rFonts w:eastAsia="Calibri"/>
          <w:sz w:val="28"/>
          <w:szCs w:val="28"/>
        </w:rPr>
      </w:pPr>
    </w:p>
    <w:p w14:paraId="170AF0CA">
      <w:pPr>
        <w:spacing w:after="160" w:line="360" w:lineRule="auto"/>
        <w:ind w:firstLine="709"/>
        <w:jc w:val="both"/>
        <w:rPr>
          <w:rFonts w:eastAsia="Calibri"/>
          <w:sz w:val="28"/>
          <w:szCs w:val="28"/>
        </w:rPr>
      </w:pPr>
    </w:p>
    <w:p w14:paraId="2A97580A">
      <w:pPr>
        <w:spacing w:after="160" w:line="360" w:lineRule="auto"/>
        <w:ind w:firstLine="709"/>
        <w:jc w:val="both"/>
        <w:rPr>
          <w:rFonts w:eastAsia="Calibri"/>
          <w:sz w:val="28"/>
          <w:szCs w:val="28"/>
        </w:rPr>
      </w:pPr>
    </w:p>
    <w:p w14:paraId="1252F0D3">
      <w:pPr>
        <w:spacing w:after="160" w:line="360" w:lineRule="auto"/>
        <w:ind w:firstLine="709"/>
        <w:jc w:val="both"/>
        <w:rPr>
          <w:rFonts w:eastAsia="Calibri"/>
          <w:sz w:val="28"/>
          <w:szCs w:val="28"/>
        </w:rPr>
      </w:pPr>
    </w:p>
    <w:p w14:paraId="54899200">
      <w:pPr>
        <w:spacing w:after="160" w:line="360" w:lineRule="auto"/>
        <w:ind w:firstLine="709"/>
        <w:jc w:val="both"/>
        <w:rPr>
          <w:rFonts w:eastAsia="Calibri"/>
          <w:sz w:val="28"/>
          <w:szCs w:val="28"/>
        </w:rPr>
      </w:pPr>
    </w:p>
    <w:p w14:paraId="7043FD37">
      <w:pPr>
        <w:spacing w:after="160" w:line="360" w:lineRule="auto"/>
        <w:ind w:firstLine="709"/>
        <w:jc w:val="both"/>
        <w:rPr>
          <w:rFonts w:eastAsia="Calibri"/>
          <w:sz w:val="28"/>
          <w:szCs w:val="28"/>
        </w:rPr>
      </w:pPr>
    </w:p>
    <w:p w14:paraId="19AB4FE9">
      <w:pPr>
        <w:spacing w:after="160" w:line="360" w:lineRule="auto"/>
        <w:ind w:firstLine="709"/>
        <w:jc w:val="both"/>
        <w:rPr>
          <w:rFonts w:eastAsia="Calibri"/>
          <w:sz w:val="28"/>
          <w:szCs w:val="28"/>
        </w:rPr>
      </w:pPr>
    </w:p>
    <w:p w14:paraId="57E05775">
      <w:pPr>
        <w:pStyle w:val="2"/>
        <w:numPr>
          <w:ilvl w:val="0"/>
          <w:numId w:val="2"/>
        </w:numPr>
        <w:rPr>
          <w:rFonts w:eastAsia="Calibri" w:cs="Times New Roman"/>
        </w:rPr>
      </w:pPr>
      <w:bookmarkStart w:id="14" w:name="_Toc167999802"/>
      <w:r>
        <w:rPr>
          <w:rFonts w:eastAsia="Calibri" w:cs="Times New Roman"/>
        </w:rPr>
        <w:t>Экспериментальная часть</w:t>
      </w:r>
      <w:bookmarkEnd w:id="14"/>
    </w:p>
    <w:p w14:paraId="23959CDD">
      <w:pPr>
        <w:pStyle w:val="3"/>
        <w:rPr>
          <w:rFonts w:cs="Times New Roman"/>
          <w:sz w:val="28"/>
          <w:szCs w:val="28"/>
        </w:rPr>
      </w:pPr>
      <w:bookmarkStart w:id="15" w:name="_Toc40530238"/>
      <w:bookmarkStart w:id="16" w:name="_Toc167999803"/>
      <w:r>
        <w:rPr>
          <w:rFonts w:cs="Times New Roman"/>
          <w:sz w:val="28"/>
          <w:szCs w:val="28"/>
        </w:rPr>
        <w:t>3.1. Электрохимическое осаждение</w:t>
      </w:r>
      <w:bookmarkEnd w:id="15"/>
      <w:bookmarkEnd w:id="16"/>
    </w:p>
    <w:p w14:paraId="223A5CED">
      <w:pPr>
        <w:spacing w:before="120" w:line="360" w:lineRule="auto"/>
        <w:ind w:firstLine="709"/>
        <w:jc w:val="both"/>
        <w:rPr>
          <w:sz w:val="28"/>
          <w:szCs w:val="28"/>
        </w:rPr>
      </w:pPr>
      <w:r>
        <w:rPr>
          <w:sz w:val="28"/>
          <w:szCs w:val="28"/>
        </w:rPr>
        <w:t xml:space="preserve">Электрохимический синтез проводился на установке, включающей: потенциостат </w:t>
      </w:r>
      <w:r>
        <w:rPr>
          <w:sz w:val="28"/>
          <w:szCs w:val="28"/>
          <w:lang w:val="en-US"/>
        </w:rPr>
        <w:t>IPC</w:t>
      </w:r>
      <w:r>
        <w:rPr>
          <w:sz w:val="28"/>
          <w:szCs w:val="28"/>
        </w:rPr>
        <w:t>-</w:t>
      </w:r>
      <w:r>
        <w:rPr>
          <w:sz w:val="28"/>
          <w:szCs w:val="28"/>
          <w:lang w:val="en-US"/>
        </w:rPr>
        <w:t>PRO</w:t>
      </w:r>
      <w:r>
        <w:rPr>
          <w:sz w:val="28"/>
          <w:szCs w:val="28"/>
        </w:rPr>
        <w:t xml:space="preserve">, совмещенный с компьютером, програмное обеспечение </w:t>
      </w:r>
      <w:r>
        <w:rPr>
          <w:sz w:val="28"/>
          <w:szCs w:val="28"/>
          <w:lang w:val="en-US"/>
        </w:rPr>
        <w:t>IPC</w:t>
      </w:r>
      <w:r>
        <w:rPr>
          <w:sz w:val="28"/>
          <w:szCs w:val="28"/>
        </w:rPr>
        <w:t xml:space="preserve"> – 61. Катод, представляющий собой полусфеорообразную болванку из сплава системы </w:t>
      </w:r>
      <w:r>
        <w:rPr>
          <w:sz w:val="28"/>
          <w:szCs w:val="28"/>
          <w:lang w:val="en-US"/>
        </w:rPr>
        <w:t>Co</w:t>
      </w:r>
      <w:r>
        <w:rPr>
          <w:sz w:val="28"/>
          <w:szCs w:val="28"/>
        </w:rPr>
        <w:t>-</w:t>
      </w:r>
      <w:r>
        <w:rPr>
          <w:sz w:val="28"/>
          <w:szCs w:val="28"/>
          <w:lang w:val="en-US"/>
        </w:rPr>
        <w:t>Re</w:t>
      </w:r>
      <w:r>
        <w:rPr>
          <w:sz w:val="28"/>
          <w:szCs w:val="28"/>
        </w:rPr>
        <w:t>-</w:t>
      </w:r>
      <w:r>
        <w:rPr>
          <w:sz w:val="28"/>
          <w:szCs w:val="28"/>
          <w:lang w:val="en-US"/>
        </w:rPr>
        <w:t>Nb</w:t>
      </w:r>
      <w:r>
        <w:rPr>
          <w:sz w:val="28"/>
          <w:szCs w:val="28"/>
        </w:rPr>
        <w:t>, был помещён между противоэлектродом (анодом) и электродом сравнения. В роли противоэлектрода выступала никелевая пластина.</w:t>
      </w:r>
    </w:p>
    <w:p w14:paraId="69F69CE0">
      <w:pPr>
        <w:spacing w:before="120" w:line="360" w:lineRule="auto"/>
        <w:ind w:firstLine="709"/>
        <w:jc w:val="both"/>
        <w:rPr>
          <w:sz w:val="28"/>
          <w:szCs w:val="28"/>
        </w:rPr>
      </w:pPr>
      <w:r>
        <w:rPr>
          <w:sz w:val="28"/>
          <w:szCs w:val="28"/>
        </w:rPr>
        <w:t>Чтобы удостовериться в верной методике осаждения, а также правильно-подобранных составов для растворов, предварительно была произведена серия осаждений растворов на медную подложку площадью 2 см</w:t>
      </w:r>
      <w:r>
        <w:rPr>
          <w:sz w:val="28"/>
          <w:szCs w:val="28"/>
          <w:vertAlign w:val="superscript"/>
        </w:rPr>
        <w:t>2</w:t>
      </w:r>
      <w:r>
        <w:rPr>
          <w:sz w:val="28"/>
          <w:szCs w:val="28"/>
        </w:rPr>
        <w:t xml:space="preserve">, которая была химически отполирована при комнатной температуре в смеси кислот 9.8 М </w:t>
      </w:r>
      <w:r>
        <w:rPr>
          <w:sz w:val="28"/>
          <w:szCs w:val="28"/>
          <w:lang w:val="en-US"/>
        </w:rPr>
        <w:t>H</w:t>
      </w:r>
      <w:r>
        <w:rPr>
          <w:sz w:val="28"/>
          <w:szCs w:val="28"/>
          <w:vertAlign w:val="subscript"/>
        </w:rPr>
        <w:t>3</w:t>
      </w:r>
      <w:r>
        <w:rPr>
          <w:sz w:val="28"/>
          <w:szCs w:val="28"/>
          <w:lang w:val="en-US"/>
        </w:rPr>
        <w:t>PO</w:t>
      </w:r>
      <w:r>
        <w:rPr>
          <w:sz w:val="28"/>
          <w:szCs w:val="28"/>
          <w:vertAlign w:val="subscript"/>
        </w:rPr>
        <w:t>4</w:t>
      </w:r>
      <w:r>
        <w:rPr>
          <w:sz w:val="28"/>
          <w:szCs w:val="28"/>
        </w:rPr>
        <w:t xml:space="preserve"> + 5.8 М </w:t>
      </w:r>
      <w:r>
        <w:rPr>
          <w:sz w:val="28"/>
          <w:szCs w:val="28"/>
          <w:lang w:val="en-US"/>
        </w:rPr>
        <w:t>CH</w:t>
      </w:r>
      <w:r>
        <w:rPr>
          <w:sz w:val="28"/>
          <w:szCs w:val="28"/>
          <w:vertAlign w:val="subscript"/>
        </w:rPr>
        <w:t>3</w:t>
      </w:r>
      <w:r>
        <w:rPr>
          <w:sz w:val="28"/>
          <w:szCs w:val="28"/>
          <w:lang w:val="en-US"/>
        </w:rPr>
        <w:t>COOH</w:t>
      </w:r>
      <w:r>
        <w:rPr>
          <w:sz w:val="28"/>
          <w:szCs w:val="28"/>
        </w:rPr>
        <w:t xml:space="preserve"> + 4.7 М </w:t>
      </w:r>
      <w:r>
        <w:rPr>
          <w:sz w:val="28"/>
          <w:szCs w:val="28"/>
          <w:lang w:val="en-US"/>
        </w:rPr>
        <w:t>HNO</w:t>
      </w:r>
      <w:r>
        <w:rPr>
          <w:sz w:val="28"/>
          <w:szCs w:val="28"/>
          <w:vertAlign w:val="subscript"/>
        </w:rPr>
        <w:t>3</w:t>
      </w:r>
    </w:p>
    <w:p w14:paraId="545763F9">
      <w:pPr>
        <w:spacing w:before="120" w:line="360" w:lineRule="auto"/>
        <w:ind w:firstLine="709"/>
        <w:jc w:val="both"/>
        <w:rPr>
          <w:sz w:val="28"/>
          <w:szCs w:val="28"/>
        </w:rPr>
      </w:pPr>
      <w:r>
        <w:rPr>
          <w:sz w:val="28"/>
          <w:szCs w:val="28"/>
        </w:rPr>
        <w:t xml:space="preserve">Электрохимическое осаждение проводилось в гальваностатическом режиме, т. е. при постоянной плотности катодного тока. Рабочим электродом служила предоставленная болванка из сплава системы </w:t>
      </w:r>
      <w:r>
        <w:rPr>
          <w:sz w:val="28"/>
          <w:szCs w:val="28"/>
          <w:lang w:val="en-US"/>
        </w:rPr>
        <w:t>Co</w:t>
      </w:r>
      <w:r>
        <w:rPr>
          <w:sz w:val="28"/>
          <w:szCs w:val="28"/>
        </w:rPr>
        <w:t>-</w:t>
      </w:r>
      <w:r>
        <w:rPr>
          <w:sz w:val="28"/>
          <w:szCs w:val="28"/>
          <w:lang w:val="en-US"/>
        </w:rPr>
        <w:t>Re</w:t>
      </w:r>
      <w:r>
        <w:rPr>
          <w:sz w:val="28"/>
          <w:szCs w:val="28"/>
        </w:rPr>
        <w:t>-</w:t>
      </w:r>
      <w:r>
        <w:rPr>
          <w:sz w:val="28"/>
          <w:szCs w:val="28"/>
          <w:lang w:val="en-US"/>
        </w:rPr>
        <w:t>Nb</w:t>
      </w:r>
      <w:r>
        <w:rPr>
          <w:sz w:val="28"/>
          <w:szCs w:val="28"/>
        </w:rPr>
        <w:t>.</w:t>
      </w:r>
    </w:p>
    <w:p w14:paraId="56703FEE">
      <w:pPr>
        <w:spacing w:line="360" w:lineRule="auto"/>
        <w:ind w:firstLine="709"/>
        <w:jc w:val="both"/>
        <w:rPr>
          <w:sz w:val="28"/>
          <w:szCs w:val="28"/>
        </w:rPr>
      </w:pPr>
      <w:r>
        <w:rPr>
          <w:sz w:val="28"/>
          <w:szCs w:val="28"/>
        </w:rPr>
        <w:t>Вначале на образец из первого рабочего раствора осаждался никель, затем, после очищения электродов сравнения и противоэлектродов, на тот же образец осаждался хром из второго рабочего раствора. Ниже приведен состав рабочих растворов.</w:t>
      </w:r>
    </w:p>
    <w:p w14:paraId="28870A82">
      <w:pPr>
        <w:pStyle w:val="35"/>
        <w:spacing w:before="240"/>
        <w:jc w:val="center"/>
        <w:rPr>
          <w:rFonts w:ascii="Times New Roman" w:hAnsi="Times New Roman" w:cs="Times New Roman"/>
          <w:b w:val="0"/>
          <w:i/>
          <w:color w:val="000000" w:themeColor="text1"/>
          <w:sz w:val="28"/>
          <w:szCs w:val="28"/>
          <w14:textFill>
            <w14:solidFill>
              <w14:schemeClr w14:val="tx1"/>
            </w14:solidFill>
          </w14:textFill>
        </w:rPr>
      </w:pPr>
      <w:r>
        <w:rPr>
          <w:rFonts w:ascii="Times New Roman" w:hAnsi="Times New Roman" w:cs="Times New Roman"/>
          <w:b w:val="0"/>
          <w:i/>
          <w:color w:val="000000" w:themeColor="text1"/>
          <w:sz w:val="28"/>
          <w:szCs w:val="28"/>
          <w14:textFill>
            <w14:solidFill>
              <w14:schemeClr w14:val="tx1"/>
            </w14:solidFill>
          </w14:textFill>
        </w:rPr>
        <w:t>Таблица 1. Состав рабочего раствора для осаждения никеля.</w:t>
      </w:r>
    </w:p>
    <w:tbl>
      <w:tblPr>
        <w:tblStyle w:val="22"/>
        <w:tblW w:w="7683" w:type="dxa"/>
        <w:tblInd w:w="13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5"/>
        <w:gridCol w:w="3628"/>
      </w:tblGrid>
      <w:tr w14:paraId="03FF2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054" w:type="dxa"/>
          </w:tcPr>
          <w:p w14:paraId="65500361">
            <w:pPr>
              <w:jc w:val="center"/>
              <w:rPr>
                <w:b/>
                <w:sz w:val="28"/>
                <w:szCs w:val="28"/>
              </w:rPr>
            </w:pPr>
            <w:r>
              <w:rPr>
                <w:rFonts w:eastAsia="Calibri"/>
                <w:b/>
                <w:sz w:val="28"/>
                <w:szCs w:val="28"/>
              </w:rPr>
              <w:t>Компонент</w:t>
            </w:r>
          </w:p>
        </w:tc>
        <w:tc>
          <w:tcPr>
            <w:tcW w:w="3628" w:type="dxa"/>
          </w:tcPr>
          <w:p w14:paraId="2F24F84B">
            <w:pPr>
              <w:jc w:val="center"/>
              <w:rPr>
                <w:b/>
                <w:sz w:val="28"/>
                <w:szCs w:val="28"/>
              </w:rPr>
            </w:pPr>
            <w:r>
              <w:rPr>
                <w:rFonts w:eastAsia="Calibri"/>
                <w:b/>
                <w:sz w:val="28"/>
                <w:szCs w:val="28"/>
              </w:rPr>
              <w:t>Содержание, М</w:t>
            </w:r>
          </w:p>
        </w:tc>
      </w:tr>
      <w:tr w14:paraId="6C303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4054" w:type="dxa"/>
          </w:tcPr>
          <w:p w14:paraId="03CB2D1E">
            <w:pPr>
              <w:jc w:val="center"/>
              <w:rPr>
                <w:sz w:val="28"/>
                <w:szCs w:val="28"/>
                <w:vertAlign w:val="subscript"/>
                <w:lang w:val="en-US"/>
              </w:rPr>
            </w:pPr>
            <w:r>
              <w:rPr>
                <w:rFonts w:eastAsia="Calibri"/>
                <w:sz w:val="28"/>
                <w:szCs w:val="28"/>
                <w:lang w:val="en-US"/>
              </w:rPr>
              <w:t>NiCl</w:t>
            </w:r>
            <w:r>
              <w:rPr>
                <w:rFonts w:eastAsia="Calibri"/>
                <w:sz w:val="28"/>
                <w:szCs w:val="28"/>
                <w:vertAlign w:val="subscript"/>
                <w:lang w:val="en-US"/>
              </w:rPr>
              <w:t>2</w:t>
            </w:r>
            <w:r>
              <w:rPr>
                <w:color w:val="000000"/>
                <w:sz w:val="28"/>
                <w:szCs w:val="28"/>
              </w:rPr>
              <w:t xml:space="preserve"> ∙</w:t>
            </w:r>
            <w:r>
              <w:rPr>
                <w:color w:val="000000"/>
                <w:sz w:val="28"/>
                <w:szCs w:val="28"/>
                <w:lang w:val="en-US"/>
              </w:rPr>
              <w:t>6</w:t>
            </w:r>
            <w:r>
              <w:rPr>
                <w:color w:val="000000"/>
                <w:sz w:val="28"/>
                <w:szCs w:val="28"/>
              </w:rPr>
              <w:t>H</w:t>
            </w:r>
            <w:r>
              <w:rPr>
                <w:color w:val="000000"/>
                <w:sz w:val="28"/>
                <w:szCs w:val="28"/>
                <w:vertAlign w:val="subscript"/>
              </w:rPr>
              <w:t>2</w:t>
            </w:r>
            <w:r>
              <w:rPr>
                <w:color w:val="000000"/>
                <w:sz w:val="28"/>
                <w:szCs w:val="28"/>
              </w:rPr>
              <w:t>O</w:t>
            </w:r>
          </w:p>
        </w:tc>
        <w:tc>
          <w:tcPr>
            <w:tcW w:w="3628" w:type="dxa"/>
          </w:tcPr>
          <w:p w14:paraId="4372F91D">
            <w:pPr>
              <w:jc w:val="center"/>
              <w:rPr>
                <w:sz w:val="28"/>
                <w:szCs w:val="28"/>
                <w:lang w:val="en-US"/>
              </w:rPr>
            </w:pPr>
            <w:r>
              <w:rPr>
                <w:rFonts w:eastAsia="Calibri"/>
                <w:sz w:val="28"/>
                <w:szCs w:val="28"/>
                <w:lang w:val="en-US"/>
              </w:rPr>
              <w:t>0.06</w:t>
            </w:r>
          </w:p>
        </w:tc>
      </w:tr>
      <w:tr w14:paraId="5655C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054" w:type="dxa"/>
          </w:tcPr>
          <w:p w14:paraId="5C32E021">
            <w:pPr>
              <w:jc w:val="center"/>
              <w:rPr>
                <w:sz w:val="28"/>
                <w:szCs w:val="28"/>
                <w:lang w:val="en-US"/>
              </w:rPr>
            </w:pPr>
            <w:r>
              <w:rPr>
                <w:rFonts w:eastAsia="Calibri"/>
                <w:sz w:val="28"/>
                <w:szCs w:val="28"/>
                <w:lang w:val="en-US"/>
              </w:rPr>
              <w:t>HCOOH</w:t>
            </w:r>
          </w:p>
        </w:tc>
        <w:tc>
          <w:tcPr>
            <w:tcW w:w="3628" w:type="dxa"/>
          </w:tcPr>
          <w:p w14:paraId="6861C2C5">
            <w:pPr>
              <w:jc w:val="center"/>
              <w:rPr>
                <w:sz w:val="28"/>
                <w:szCs w:val="28"/>
                <w:lang w:val="en-US"/>
              </w:rPr>
            </w:pPr>
            <w:r>
              <w:rPr>
                <w:rFonts w:eastAsia="Calibri"/>
                <w:sz w:val="28"/>
                <w:szCs w:val="28"/>
                <w:lang w:val="en-US"/>
              </w:rPr>
              <w:t>0.3</w:t>
            </w:r>
          </w:p>
        </w:tc>
      </w:tr>
      <w:tr w14:paraId="4A10E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4054" w:type="dxa"/>
          </w:tcPr>
          <w:p w14:paraId="5D2F90DE">
            <w:pPr>
              <w:spacing w:line="360" w:lineRule="auto"/>
              <w:jc w:val="center"/>
              <w:rPr>
                <w:sz w:val="28"/>
                <w:szCs w:val="28"/>
                <w:vertAlign w:val="subscript"/>
                <w:lang w:val="en-US"/>
              </w:rPr>
            </w:pPr>
            <w:r>
              <w:rPr>
                <w:rFonts w:eastAsia="Calibri"/>
                <w:sz w:val="28"/>
                <w:szCs w:val="28"/>
                <w:lang w:val="en-US"/>
              </w:rPr>
              <w:t>Na</w:t>
            </w:r>
            <w:r>
              <w:rPr>
                <w:rFonts w:eastAsia="Calibri"/>
                <w:sz w:val="28"/>
                <w:szCs w:val="28"/>
                <w:vertAlign w:val="subscript"/>
                <w:lang w:val="en-US"/>
              </w:rPr>
              <w:t>3</w:t>
            </w:r>
            <w:r>
              <w:rPr>
                <w:rFonts w:eastAsia="Calibri"/>
                <w:sz w:val="28"/>
                <w:szCs w:val="28"/>
                <w:lang w:val="en-US"/>
              </w:rPr>
              <w:t>C</w:t>
            </w:r>
            <w:r>
              <w:rPr>
                <w:rFonts w:eastAsia="Calibri"/>
                <w:sz w:val="28"/>
                <w:szCs w:val="28"/>
                <w:vertAlign w:val="subscript"/>
                <w:lang w:val="en-US"/>
              </w:rPr>
              <w:t>6</w:t>
            </w:r>
            <w:r>
              <w:rPr>
                <w:rFonts w:eastAsia="Calibri"/>
                <w:sz w:val="28"/>
                <w:szCs w:val="28"/>
                <w:lang w:val="en-US"/>
              </w:rPr>
              <w:t>H</w:t>
            </w:r>
            <w:r>
              <w:rPr>
                <w:rFonts w:eastAsia="Calibri"/>
                <w:sz w:val="28"/>
                <w:szCs w:val="28"/>
                <w:vertAlign w:val="subscript"/>
                <w:lang w:val="en-US"/>
              </w:rPr>
              <w:t>5</w:t>
            </w:r>
            <w:r>
              <w:rPr>
                <w:rFonts w:eastAsia="Calibri"/>
                <w:sz w:val="28"/>
                <w:szCs w:val="28"/>
                <w:lang w:val="en-US"/>
              </w:rPr>
              <w:t>O</w:t>
            </w:r>
            <w:r>
              <w:rPr>
                <w:rFonts w:eastAsia="Calibri"/>
                <w:sz w:val="28"/>
                <w:szCs w:val="28"/>
                <w:vertAlign w:val="subscript"/>
                <w:lang w:val="en-US"/>
              </w:rPr>
              <w:t>7</w:t>
            </w:r>
            <w:r>
              <w:rPr>
                <w:color w:val="000000"/>
                <w:sz w:val="28"/>
                <w:szCs w:val="28"/>
              </w:rPr>
              <w:t xml:space="preserve"> ∙</w:t>
            </w:r>
            <w:r>
              <w:rPr>
                <w:color w:val="000000"/>
                <w:sz w:val="28"/>
                <w:szCs w:val="28"/>
                <w:lang w:val="en-US"/>
              </w:rPr>
              <w:t>5.5</w:t>
            </w:r>
            <w:r>
              <w:rPr>
                <w:color w:val="000000"/>
                <w:sz w:val="28"/>
                <w:szCs w:val="28"/>
              </w:rPr>
              <w:t>H</w:t>
            </w:r>
            <w:r>
              <w:rPr>
                <w:color w:val="000000"/>
                <w:sz w:val="28"/>
                <w:szCs w:val="28"/>
                <w:vertAlign w:val="subscript"/>
              </w:rPr>
              <w:t>2</w:t>
            </w:r>
            <w:r>
              <w:rPr>
                <w:color w:val="000000"/>
                <w:sz w:val="28"/>
                <w:szCs w:val="28"/>
              </w:rPr>
              <w:t>O</w:t>
            </w:r>
          </w:p>
        </w:tc>
        <w:tc>
          <w:tcPr>
            <w:tcW w:w="3628" w:type="dxa"/>
          </w:tcPr>
          <w:p w14:paraId="2341CF3F">
            <w:pPr>
              <w:keepNext/>
              <w:jc w:val="center"/>
              <w:rPr>
                <w:sz w:val="28"/>
                <w:szCs w:val="28"/>
                <w:lang w:val="en-US"/>
              </w:rPr>
            </w:pPr>
            <w:r>
              <w:rPr>
                <w:rFonts w:eastAsia="Calibri"/>
                <w:sz w:val="28"/>
                <w:szCs w:val="28"/>
                <w:lang w:val="en-US"/>
              </w:rPr>
              <w:t>0.3</w:t>
            </w:r>
          </w:p>
        </w:tc>
      </w:tr>
    </w:tbl>
    <w:p w14:paraId="1F9DB387">
      <w:pPr>
        <w:pStyle w:val="35"/>
        <w:spacing w:before="2520"/>
        <w:jc w:val="center"/>
        <w:rPr>
          <w:rFonts w:ascii="Times New Roman" w:hAnsi="Times New Roman" w:cs="Times New Roman"/>
          <w:b w:val="0"/>
          <w:i/>
          <w:color w:val="000000" w:themeColor="text1"/>
          <w:sz w:val="28"/>
          <w:szCs w:val="28"/>
          <w14:textFill>
            <w14:solidFill>
              <w14:schemeClr w14:val="tx1"/>
            </w14:solidFill>
          </w14:textFill>
        </w:rPr>
      </w:pPr>
      <w:r>
        <w:rPr>
          <w:rFonts w:ascii="Times New Roman" w:hAnsi="Times New Roman" w:cs="Times New Roman"/>
          <w:b w:val="0"/>
          <w:i/>
          <w:color w:val="000000" w:themeColor="text1"/>
          <w:sz w:val="28"/>
          <w:szCs w:val="28"/>
          <w14:textFill>
            <w14:solidFill>
              <w14:schemeClr w14:val="tx1"/>
            </w14:solidFill>
          </w14:textFill>
        </w:rPr>
        <w:t>Таблица 2. Состав рабочего раствора для осаждения хрома.</w:t>
      </w:r>
    </w:p>
    <w:tbl>
      <w:tblPr>
        <w:tblStyle w:val="22"/>
        <w:tblW w:w="7655" w:type="dxa"/>
        <w:tblInd w:w="13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11"/>
        <w:gridCol w:w="3544"/>
      </w:tblGrid>
      <w:tr w14:paraId="38743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111" w:type="dxa"/>
          </w:tcPr>
          <w:p w14:paraId="20D8294A">
            <w:pPr>
              <w:jc w:val="center"/>
              <w:rPr>
                <w:rStyle w:val="8"/>
                <w:sz w:val="28"/>
                <w:szCs w:val="28"/>
              </w:rPr>
            </w:pPr>
            <w:r>
              <w:rPr>
                <w:rStyle w:val="8"/>
                <w:rFonts w:eastAsia="Calibri"/>
                <w:sz w:val="28"/>
                <w:szCs w:val="28"/>
              </w:rPr>
              <w:t>Компонент</w:t>
            </w:r>
          </w:p>
        </w:tc>
        <w:tc>
          <w:tcPr>
            <w:tcW w:w="3544" w:type="dxa"/>
          </w:tcPr>
          <w:p w14:paraId="3EA64F2B">
            <w:pPr>
              <w:jc w:val="center"/>
              <w:rPr>
                <w:rStyle w:val="8"/>
                <w:sz w:val="28"/>
                <w:szCs w:val="28"/>
              </w:rPr>
            </w:pPr>
            <w:r>
              <w:rPr>
                <w:rStyle w:val="8"/>
                <w:rFonts w:eastAsia="Calibri"/>
                <w:sz w:val="28"/>
                <w:szCs w:val="28"/>
              </w:rPr>
              <w:t>Содержание, М</w:t>
            </w:r>
          </w:p>
        </w:tc>
      </w:tr>
      <w:tr w14:paraId="2B908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4111" w:type="dxa"/>
          </w:tcPr>
          <w:p w14:paraId="546D3293">
            <w:pPr>
              <w:jc w:val="center"/>
              <w:rPr>
                <w:rStyle w:val="8"/>
                <w:b w:val="0"/>
                <w:sz w:val="28"/>
                <w:szCs w:val="28"/>
                <w:vertAlign w:val="subscript"/>
                <w:lang w:val="en-US"/>
              </w:rPr>
            </w:pPr>
            <w:r>
              <w:rPr>
                <w:rStyle w:val="8"/>
                <w:rFonts w:eastAsia="Calibri"/>
                <w:b w:val="0"/>
                <w:sz w:val="28"/>
                <w:szCs w:val="28"/>
                <w:lang w:val="en-US"/>
              </w:rPr>
              <w:t>CrCl</w:t>
            </w:r>
            <w:r>
              <w:rPr>
                <w:rStyle w:val="8"/>
                <w:rFonts w:eastAsia="Calibri"/>
                <w:b w:val="0"/>
                <w:sz w:val="28"/>
                <w:szCs w:val="28"/>
                <w:vertAlign w:val="subscript"/>
                <w:lang w:val="en-US"/>
              </w:rPr>
              <w:t>3</w:t>
            </w:r>
            <w:r>
              <w:rPr>
                <w:color w:val="000000"/>
                <w:sz w:val="28"/>
                <w:szCs w:val="28"/>
              </w:rPr>
              <w:t xml:space="preserve"> ∙</w:t>
            </w:r>
            <w:r>
              <w:rPr>
                <w:color w:val="000000"/>
                <w:sz w:val="28"/>
                <w:szCs w:val="28"/>
                <w:lang w:val="en-US"/>
              </w:rPr>
              <w:t>6</w:t>
            </w:r>
            <w:r>
              <w:rPr>
                <w:color w:val="000000"/>
                <w:sz w:val="28"/>
                <w:szCs w:val="28"/>
              </w:rPr>
              <w:t>H</w:t>
            </w:r>
            <w:r>
              <w:rPr>
                <w:color w:val="000000"/>
                <w:sz w:val="28"/>
                <w:szCs w:val="28"/>
                <w:vertAlign w:val="subscript"/>
              </w:rPr>
              <w:t>2</w:t>
            </w:r>
            <w:r>
              <w:rPr>
                <w:color w:val="000000"/>
                <w:sz w:val="28"/>
                <w:szCs w:val="28"/>
              </w:rPr>
              <w:t>O</w:t>
            </w:r>
          </w:p>
        </w:tc>
        <w:tc>
          <w:tcPr>
            <w:tcW w:w="3544" w:type="dxa"/>
          </w:tcPr>
          <w:p w14:paraId="270C9F03">
            <w:pPr>
              <w:jc w:val="center"/>
              <w:rPr>
                <w:rStyle w:val="8"/>
                <w:b w:val="0"/>
                <w:sz w:val="28"/>
                <w:szCs w:val="28"/>
                <w:lang w:val="en-US"/>
              </w:rPr>
            </w:pPr>
            <w:r>
              <w:rPr>
                <w:rStyle w:val="8"/>
                <w:rFonts w:eastAsia="Calibri"/>
                <w:b w:val="0"/>
                <w:sz w:val="28"/>
                <w:szCs w:val="28"/>
                <w:lang w:val="en-US"/>
              </w:rPr>
              <w:t>0.6</w:t>
            </w:r>
          </w:p>
        </w:tc>
      </w:tr>
      <w:tr w14:paraId="46253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4111" w:type="dxa"/>
          </w:tcPr>
          <w:p w14:paraId="46F8841C">
            <w:pPr>
              <w:spacing w:line="360" w:lineRule="auto"/>
              <w:jc w:val="center"/>
              <w:rPr>
                <w:sz w:val="28"/>
                <w:szCs w:val="28"/>
                <w:vertAlign w:val="subscript"/>
                <w:lang w:val="en-US"/>
              </w:rPr>
            </w:pPr>
            <w:r>
              <w:rPr>
                <w:rFonts w:eastAsia="Calibri"/>
                <w:sz w:val="28"/>
                <w:szCs w:val="28"/>
                <w:lang w:val="en-US"/>
              </w:rPr>
              <w:t>Na</w:t>
            </w:r>
            <w:r>
              <w:rPr>
                <w:rFonts w:eastAsia="Calibri"/>
                <w:sz w:val="28"/>
                <w:szCs w:val="28"/>
                <w:vertAlign w:val="subscript"/>
                <w:lang w:val="en-US"/>
              </w:rPr>
              <w:t>3</w:t>
            </w:r>
            <w:r>
              <w:rPr>
                <w:rFonts w:eastAsia="Calibri"/>
                <w:sz w:val="28"/>
                <w:szCs w:val="28"/>
                <w:lang w:val="en-US"/>
              </w:rPr>
              <w:t>C</w:t>
            </w:r>
            <w:r>
              <w:rPr>
                <w:rFonts w:eastAsia="Calibri"/>
                <w:sz w:val="28"/>
                <w:szCs w:val="28"/>
                <w:vertAlign w:val="subscript"/>
                <w:lang w:val="en-US"/>
              </w:rPr>
              <w:t>6</w:t>
            </w:r>
            <w:r>
              <w:rPr>
                <w:rFonts w:eastAsia="Calibri"/>
                <w:sz w:val="28"/>
                <w:szCs w:val="28"/>
                <w:lang w:val="en-US"/>
              </w:rPr>
              <w:t>H</w:t>
            </w:r>
            <w:r>
              <w:rPr>
                <w:rFonts w:eastAsia="Calibri"/>
                <w:sz w:val="28"/>
                <w:szCs w:val="28"/>
                <w:vertAlign w:val="subscript"/>
                <w:lang w:val="en-US"/>
              </w:rPr>
              <w:t>5</w:t>
            </w:r>
            <w:r>
              <w:rPr>
                <w:rFonts w:eastAsia="Calibri"/>
                <w:sz w:val="28"/>
                <w:szCs w:val="28"/>
                <w:lang w:val="en-US"/>
              </w:rPr>
              <w:t>O</w:t>
            </w:r>
            <w:r>
              <w:rPr>
                <w:rFonts w:eastAsia="Calibri"/>
                <w:sz w:val="28"/>
                <w:szCs w:val="28"/>
                <w:vertAlign w:val="subscript"/>
                <w:lang w:val="en-US"/>
              </w:rPr>
              <w:t>7</w:t>
            </w:r>
            <w:r>
              <w:rPr>
                <w:color w:val="000000"/>
                <w:sz w:val="28"/>
                <w:szCs w:val="28"/>
              </w:rPr>
              <w:t xml:space="preserve"> ∙</w:t>
            </w:r>
            <w:r>
              <w:rPr>
                <w:color w:val="000000"/>
                <w:sz w:val="28"/>
                <w:szCs w:val="28"/>
                <w:lang w:val="en-US"/>
              </w:rPr>
              <w:t>5.5</w:t>
            </w:r>
            <w:r>
              <w:rPr>
                <w:color w:val="000000"/>
                <w:sz w:val="28"/>
                <w:szCs w:val="28"/>
              </w:rPr>
              <w:t>H</w:t>
            </w:r>
            <w:r>
              <w:rPr>
                <w:color w:val="000000"/>
                <w:sz w:val="28"/>
                <w:szCs w:val="28"/>
                <w:vertAlign w:val="subscript"/>
              </w:rPr>
              <w:t>2</w:t>
            </w:r>
            <w:r>
              <w:rPr>
                <w:color w:val="000000"/>
                <w:sz w:val="28"/>
                <w:szCs w:val="28"/>
              </w:rPr>
              <w:t>O</w:t>
            </w:r>
          </w:p>
        </w:tc>
        <w:tc>
          <w:tcPr>
            <w:tcW w:w="3544" w:type="dxa"/>
          </w:tcPr>
          <w:p w14:paraId="2D5C4198">
            <w:pPr>
              <w:jc w:val="center"/>
              <w:rPr>
                <w:rStyle w:val="8"/>
                <w:b w:val="0"/>
                <w:sz w:val="28"/>
                <w:szCs w:val="28"/>
                <w:lang w:val="en-US"/>
              </w:rPr>
            </w:pPr>
            <w:r>
              <w:rPr>
                <w:rStyle w:val="8"/>
                <w:rFonts w:eastAsia="Calibri"/>
                <w:b w:val="0"/>
                <w:sz w:val="28"/>
                <w:szCs w:val="28"/>
                <w:lang w:val="en-US"/>
              </w:rPr>
              <w:t>0.3</w:t>
            </w:r>
          </w:p>
        </w:tc>
      </w:tr>
      <w:tr w14:paraId="0A30C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4111" w:type="dxa"/>
          </w:tcPr>
          <w:p w14:paraId="7B5E23E6">
            <w:pPr>
              <w:jc w:val="center"/>
              <w:rPr>
                <w:rStyle w:val="8"/>
                <w:sz w:val="28"/>
                <w:szCs w:val="28"/>
              </w:rPr>
            </w:pPr>
            <w:r>
              <w:rPr>
                <w:rFonts w:eastAsia="Calibri"/>
                <w:sz w:val="28"/>
                <w:szCs w:val="28"/>
                <w:lang w:val="en-US"/>
              </w:rPr>
              <w:t>HCOOH</w:t>
            </w:r>
          </w:p>
        </w:tc>
        <w:tc>
          <w:tcPr>
            <w:tcW w:w="3544" w:type="dxa"/>
          </w:tcPr>
          <w:p w14:paraId="348917B5">
            <w:pPr>
              <w:jc w:val="center"/>
              <w:rPr>
                <w:rStyle w:val="8"/>
                <w:b w:val="0"/>
                <w:sz w:val="28"/>
                <w:szCs w:val="28"/>
                <w:lang w:val="en-US"/>
              </w:rPr>
            </w:pPr>
            <w:r>
              <w:rPr>
                <w:rStyle w:val="8"/>
                <w:rFonts w:eastAsia="Calibri"/>
                <w:b w:val="0"/>
                <w:sz w:val="28"/>
                <w:szCs w:val="28"/>
                <w:lang w:val="en-US"/>
              </w:rPr>
              <w:t>0.8</w:t>
            </w:r>
          </w:p>
        </w:tc>
      </w:tr>
      <w:tr w14:paraId="51F82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4111" w:type="dxa"/>
          </w:tcPr>
          <w:p w14:paraId="18ABDAE9">
            <w:pPr>
              <w:spacing w:line="360" w:lineRule="auto"/>
              <w:jc w:val="center"/>
              <w:rPr>
                <w:sz w:val="28"/>
                <w:szCs w:val="28"/>
                <w:vertAlign w:val="subscript"/>
                <w:lang w:val="en-US"/>
              </w:rPr>
            </w:pPr>
            <w:r>
              <w:rPr>
                <w:rFonts w:eastAsia="Calibri"/>
                <w:sz w:val="28"/>
                <w:szCs w:val="28"/>
                <w:lang w:val="en-US"/>
              </w:rPr>
              <w:t>Al</w:t>
            </w:r>
            <w:r>
              <w:rPr>
                <w:rFonts w:eastAsia="Calibri"/>
                <w:sz w:val="28"/>
                <w:szCs w:val="28"/>
                <w:vertAlign w:val="subscript"/>
                <w:lang w:val="en-US"/>
              </w:rPr>
              <w:t>2</w:t>
            </w:r>
            <w:r>
              <w:rPr>
                <w:rFonts w:eastAsia="Calibri"/>
                <w:sz w:val="28"/>
                <w:szCs w:val="28"/>
                <w:lang w:val="en-US"/>
              </w:rPr>
              <w:t>(SO</w:t>
            </w:r>
            <w:r>
              <w:rPr>
                <w:rFonts w:eastAsia="Calibri"/>
                <w:sz w:val="28"/>
                <w:szCs w:val="28"/>
                <w:vertAlign w:val="subscript"/>
                <w:lang w:val="en-US"/>
              </w:rPr>
              <w:t>4</w:t>
            </w:r>
            <w:r>
              <w:rPr>
                <w:rFonts w:eastAsia="Calibri"/>
                <w:sz w:val="28"/>
                <w:szCs w:val="28"/>
                <w:lang w:val="en-US"/>
              </w:rPr>
              <w:t>)</w:t>
            </w:r>
            <w:r>
              <w:rPr>
                <w:rFonts w:eastAsia="Calibri"/>
                <w:sz w:val="28"/>
                <w:szCs w:val="28"/>
                <w:vertAlign w:val="subscript"/>
                <w:lang w:val="en-US"/>
              </w:rPr>
              <w:t>3</w:t>
            </w:r>
            <w:r>
              <w:rPr>
                <w:color w:val="000000"/>
                <w:sz w:val="28"/>
                <w:szCs w:val="28"/>
              </w:rPr>
              <w:t xml:space="preserve"> ∙</w:t>
            </w:r>
            <w:r>
              <w:rPr>
                <w:color w:val="000000"/>
                <w:sz w:val="28"/>
                <w:szCs w:val="28"/>
                <w:lang w:val="en-US"/>
              </w:rPr>
              <w:t>18</w:t>
            </w:r>
            <w:r>
              <w:rPr>
                <w:color w:val="000000"/>
                <w:sz w:val="28"/>
                <w:szCs w:val="28"/>
              </w:rPr>
              <w:t>H</w:t>
            </w:r>
            <w:r>
              <w:rPr>
                <w:color w:val="000000"/>
                <w:sz w:val="28"/>
                <w:szCs w:val="28"/>
                <w:vertAlign w:val="subscript"/>
              </w:rPr>
              <w:t>2</w:t>
            </w:r>
            <w:r>
              <w:rPr>
                <w:color w:val="000000"/>
                <w:sz w:val="28"/>
                <w:szCs w:val="28"/>
              </w:rPr>
              <w:t>O</w:t>
            </w:r>
          </w:p>
        </w:tc>
        <w:tc>
          <w:tcPr>
            <w:tcW w:w="3544" w:type="dxa"/>
          </w:tcPr>
          <w:p w14:paraId="783156A8">
            <w:pPr>
              <w:keepNext/>
              <w:jc w:val="center"/>
              <w:rPr>
                <w:rStyle w:val="8"/>
                <w:b w:val="0"/>
                <w:sz w:val="28"/>
                <w:szCs w:val="28"/>
                <w:lang w:val="en-US"/>
              </w:rPr>
            </w:pPr>
            <w:r>
              <w:rPr>
                <w:rStyle w:val="8"/>
                <w:rFonts w:eastAsia="Calibri"/>
                <w:b w:val="0"/>
                <w:sz w:val="28"/>
                <w:szCs w:val="28"/>
                <w:lang w:val="en-US"/>
              </w:rPr>
              <w:t>0.165</w:t>
            </w:r>
          </w:p>
        </w:tc>
      </w:tr>
    </w:tbl>
    <w:p w14:paraId="04345B7F">
      <w:pPr>
        <w:pStyle w:val="35"/>
        <w:jc w:val="both"/>
        <w:rPr>
          <w:rFonts w:ascii="Times New Roman" w:hAnsi="Times New Roman" w:cs="Times New Roman"/>
          <w:b w:val="0"/>
          <w:i/>
          <w:color w:val="000000" w:themeColor="text1"/>
          <w:sz w:val="28"/>
          <w:szCs w:val="28"/>
          <w14:textFill>
            <w14:solidFill>
              <w14:schemeClr w14:val="tx1"/>
            </w14:solidFill>
          </w14:textFill>
        </w:rPr>
      </w:pPr>
    </w:p>
    <w:p w14:paraId="4F9A0855">
      <w:pPr>
        <w:spacing w:line="360" w:lineRule="auto"/>
        <w:ind w:firstLine="709"/>
        <w:jc w:val="both"/>
        <w:rPr>
          <w:color w:val="000000" w:themeColor="text1"/>
          <w:sz w:val="28"/>
          <w:szCs w:val="28"/>
          <w14:textFill>
            <w14:solidFill>
              <w14:schemeClr w14:val="tx1"/>
            </w14:solidFill>
          </w14:textFill>
        </w:rPr>
      </w:pPr>
      <w:r>
        <w:rPr>
          <w:sz w:val="28"/>
          <w:szCs w:val="28"/>
        </w:rPr>
        <w:t>Объем ячейки составлял 50 мл, осаждение проводилось при температуре 25</w:t>
      </w:r>
      <w:r>
        <w:rPr>
          <w:color w:val="000000" w:themeColor="text1"/>
          <w:sz w:val="28"/>
          <w:szCs w:val="28"/>
          <w14:textFill>
            <w14:solidFill>
              <w14:schemeClr w14:val="tx1"/>
            </w14:solidFill>
          </w14:textFill>
        </w:rPr>
        <w:t>℃. Синтез проводили при плотностях катодного тока: 0.1 А/см</w:t>
      </w:r>
      <w:r>
        <w:rPr>
          <w:color w:val="000000" w:themeColor="text1"/>
          <w:sz w:val="28"/>
          <w:szCs w:val="28"/>
          <w:vertAlign w:val="superscript"/>
          <w14:textFill>
            <w14:solidFill>
              <w14:schemeClr w14:val="tx1"/>
            </w14:solidFill>
          </w14:textFill>
        </w:rPr>
        <w:t xml:space="preserve">2 </w:t>
      </w:r>
      <w:r>
        <w:rPr>
          <w:color w:val="000000" w:themeColor="text1"/>
          <w:sz w:val="28"/>
          <w:szCs w:val="28"/>
          <w14:textFill>
            <w14:solidFill>
              <w14:schemeClr w14:val="tx1"/>
            </w14:solidFill>
          </w14:textFill>
        </w:rPr>
        <w:t>для осаждения никеля и 0.3 А/см</w:t>
      </w:r>
      <w:r>
        <w:rPr>
          <w:color w:val="000000" w:themeColor="text1"/>
          <w:sz w:val="28"/>
          <w:szCs w:val="28"/>
          <w:vertAlign w:val="superscript"/>
          <w14:textFill>
            <w14:solidFill>
              <w14:schemeClr w14:val="tx1"/>
            </w14:solidFill>
          </w14:textFill>
        </w:rPr>
        <w:t xml:space="preserve">2 </w:t>
      </w:r>
      <w:r>
        <w:rPr>
          <w:color w:val="000000" w:themeColor="text1"/>
          <w:sz w:val="28"/>
          <w:szCs w:val="28"/>
          <w14:textFill>
            <w14:solidFill>
              <w14:schemeClr w14:val="tx1"/>
            </w14:solidFill>
          </w14:textFill>
        </w:rPr>
        <w:t>для осаждения хрома; время синтеза составляло порядка получаса.</w:t>
      </w:r>
    </w:p>
    <w:p w14:paraId="5D1B01DD">
      <w:pPr>
        <w:pStyle w:val="3"/>
        <w:rPr>
          <w:rFonts w:cs="Times New Roman"/>
          <w:sz w:val="28"/>
          <w:szCs w:val="28"/>
        </w:rPr>
      </w:pPr>
      <w:bookmarkStart w:id="17" w:name="_Toc167999804"/>
      <w:r>
        <w:rPr>
          <w:rFonts w:cs="Times New Roman"/>
          <w:sz w:val="28"/>
          <w:szCs w:val="28"/>
        </w:rPr>
        <w:t>3.2 Методы исследования</w:t>
      </w:r>
      <w:bookmarkEnd w:id="17"/>
    </w:p>
    <w:p w14:paraId="4A321ED3">
      <w:pPr>
        <w:pStyle w:val="4"/>
        <w:spacing w:line="360" w:lineRule="auto"/>
        <w:jc w:val="both"/>
        <w:rPr>
          <w:rFonts w:cs="Times New Roman"/>
          <w:color w:val="FF0000"/>
          <w:sz w:val="28"/>
          <w:szCs w:val="28"/>
        </w:rPr>
      </w:pPr>
      <w:bookmarkStart w:id="18" w:name="_Toc167999805"/>
      <w:r>
        <w:rPr>
          <w:rFonts w:cs="Times New Roman"/>
          <w:sz w:val="28"/>
          <w:szCs w:val="28"/>
        </w:rPr>
        <w:t>Локальный рентгеноспектральный анализ (ЛРСА)</w:t>
      </w:r>
      <w:bookmarkEnd w:id="18"/>
    </w:p>
    <w:p w14:paraId="68C2EECF">
      <w:pPr>
        <w:spacing w:before="120" w:line="360" w:lineRule="auto"/>
        <w:ind w:firstLine="709"/>
        <w:jc w:val="both"/>
        <w:rPr>
          <w:color w:val="000000" w:themeColor="text1"/>
          <w:sz w:val="28"/>
          <w14:textFill>
            <w14:solidFill>
              <w14:schemeClr w14:val="tx1"/>
            </w14:solidFill>
          </w14:textFill>
        </w:rPr>
      </w:pPr>
      <w:r>
        <w:rPr>
          <w:color w:val="000000" w:themeColor="text1"/>
          <w:sz w:val="28"/>
          <w14:textFill>
            <w14:solidFill>
              <w14:schemeClr w14:val="tx1"/>
            </w14:solidFill>
          </w14:textFill>
        </w:rPr>
        <w:t xml:space="preserve">Исследования проводились методами растровой электронной микроскопии и рентгеноспектрального микроанализа на растровом электронном микроскопе </w:t>
      </w:r>
      <w:r>
        <w:rPr>
          <w:color w:val="000000" w:themeColor="text1"/>
          <w:sz w:val="28"/>
          <w:lang w:val="en-US"/>
          <w14:textFill>
            <w14:solidFill>
              <w14:schemeClr w14:val="tx1"/>
            </w14:solidFill>
          </w14:textFill>
        </w:rPr>
        <w:t>JSM</w:t>
      </w:r>
      <w:r>
        <w:rPr>
          <w:color w:val="000000" w:themeColor="text1"/>
          <w:sz w:val="28"/>
          <w14:textFill>
            <w14:solidFill>
              <w14:schemeClr w14:val="tx1"/>
            </w14:solidFill>
          </w14:textFill>
        </w:rPr>
        <w:t>-840 фирмы «</w:t>
      </w:r>
      <w:r>
        <w:rPr>
          <w:color w:val="000000" w:themeColor="text1"/>
          <w:sz w:val="28"/>
          <w:lang w:val="en-US"/>
          <w14:textFill>
            <w14:solidFill>
              <w14:schemeClr w14:val="tx1"/>
            </w14:solidFill>
          </w14:textFill>
        </w:rPr>
        <w:t>Jeol</w:t>
      </w:r>
      <w:r>
        <w:rPr>
          <w:color w:val="000000" w:themeColor="text1"/>
          <w:sz w:val="28"/>
          <w14:textFill>
            <w14:solidFill>
              <w14:schemeClr w14:val="tx1"/>
            </w14:solidFill>
          </w14:textFill>
        </w:rPr>
        <w:t xml:space="preserve">» (Япония) с микрозондовым анализатором </w:t>
      </w:r>
      <w:r>
        <w:rPr>
          <w:color w:val="000000" w:themeColor="text1"/>
          <w:sz w:val="28"/>
          <w:lang w:val="en-US"/>
          <w14:textFill>
            <w14:solidFill>
              <w14:schemeClr w14:val="tx1"/>
            </w14:solidFill>
          </w14:textFill>
        </w:rPr>
        <w:t>ISIS</w:t>
      </w:r>
      <w:r>
        <w:rPr>
          <w:color w:val="000000" w:themeColor="text1"/>
          <w:sz w:val="28"/>
          <w14:textFill>
            <w14:solidFill>
              <w14:schemeClr w14:val="tx1"/>
            </w14:solidFill>
          </w14:textFill>
        </w:rPr>
        <w:t xml:space="preserve"> фирмы «</w:t>
      </w:r>
      <w:r>
        <w:rPr>
          <w:color w:val="000000" w:themeColor="text1"/>
          <w:sz w:val="28"/>
          <w:lang w:val="en-US"/>
          <w14:textFill>
            <w14:solidFill>
              <w14:schemeClr w14:val="tx1"/>
            </w14:solidFill>
          </w14:textFill>
        </w:rPr>
        <w:t>Oxford</w:t>
      </w:r>
      <w:r>
        <w:rPr>
          <w:color w:val="000000" w:themeColor="text1"/>
          <w:sz w:val="28"/>
          <w14:textFill>
            <w14:solidFill>
              <w14:schemeClr w14:val="tx1"/>
            </w14:solidFill>
          </w14:textFill>
        </w:rPr>
        <w:t xml:space="preserve"> </w:t>
      </w:r>
      <w:r>
        <w:rPr>
          <w:color w:val="000000" w:themeColor="text1"/>
          <w:sz w:val="28"/>
          <w:lang w:val="en-US"/>
          <w14:textFill>
            <w14:solidFill>
              <w14:schemeClr w14:val="tx1"/>
            </w14:solidFill>
          </w14:textFill>
        </w:rPr>
        <w:t>Instruments</w:t>
      </w:r>
      <w:r>
        <w:rPr>
          <w:color w:val="000000" w:themeColor="text1"/>
          <w:sz w:val="28"/>
          <w14:textFill>
            <w14:solidFill>
              <w14:schemeClr w14:val="tx1"/>
            </w14:solidFill>
          </w14:textFill>
        </w:rPr>
        <w:t>» (Великобритания) при ускоряющем напряжении 20 кэВ.</w:t>
      </w:r>
    </w:p>
    <w:p w14:paraId="3ABF46CF">
      <w:pPr>
        <w:spacing w:before="120" w:line="360" w:lineRule="auto"/>
        <w:ind w:firstLine="709"/>
        <w:jc w:val="both"/>
        <w:rPr>
          <w:color w:val="000000" w:themeColor="text1"/>
          <w:sz w:val="28"/>
          <w14:textFill>
            <w14:solidFill>
              <w14:schemeClr w14:val="tx1"/>
            </w14:solidFill>
          </w14:textFill>
        </w:rPr>
      </w:pPr>
      <w:r>
        <w:rPr>
          <w:color w:val="000000" w:themeColor="text1"/>
          <w:sz w:val="28"/>
          <w14:textFill>
            <w14:solidFill>
              <w14:schemeClr w14:val="tx1"/>
            </w14:solidFill>
          </w14:textFill>
        </w:rPr>
        <w:t>Рентгеноспектральный микроанализ основан на использовании характеристического рентгеновского излучения, возбуждаемого в исследуемых образцах при бомбардировке их пучком электронов. Разлагая излучение в спектр и определяя интенсивность спектральных линий, можно качественно и количественно определить элементный состав образца в точке падения электронов. В данном случае, при использовании энергодисперсионного спектрометра, относительная погрешность измерений составляла не более 0,5 масс.%. Количественные измерения проводились по характеристическим линиям рентгеновского излучения.</w:t>
      </w:r>
    </w:p>
    <w:p w14:paraId="1E1FAD1F">
      <w:pPr>
        <w:pStyle w:val="3"/>
        <w:rPr>
          <w:rFonts w:cs="Times New Roman"/>
          <w:sz w:val="28"/>
          <w:szCs w:val="28"/>
        </w:rPr>
      </w:pPr>
      <w:bookmarkStart w:id="19" w:name="_Toc167999806"/>
      <w:r>
        <w:rPr>
          <w:rFonts w:cs="Times New Roman"/>
          <w:sz w:val="28"/>
          <w:szCs w:val="28"/>
        </w:rPr>
        <w:t>3.3 Синтез ренийсодержащих кобальтовых сплавов</w:t>
      </w:r>
      <w:bookmarkEnd w:id="19"/>
    </w:p>
    <w:p w14:paraId="7F7C8F9B">
      <w:pPr>
        <w:spacing w:before="120" w:line="360" w:lineRule="auto"/>
        <w:ind w:firstLine="709"/>
        <w:jc w:val="both"/>
        <w:rPr>
          <w:sz w:val="28"/>
          <w:szCs w:val="28"/>
        </w:rPr>
      </w:pPr>
      <w:r>
        <w:rPr>
          <w:sz w:val="28"/>
          <w:szCs w:val="28"/>
        </w:rPr>
        <w:t>Выбор составов сплавов осуществлялся на основе имеющихся в литературе данных о строении изотермических сечений трёхкомпонентной системы Co-Nb-Re при 1375 и 1200 К, таким образом, чтобы при 1375</w:t>
      </w:r>
      <w:r>
        <w:rPr>
          <w:color w:val="FFFFFF"/>
          <w:sz w:val="28"/>
          <w:szCs w:val="28"/>
        </w:rPr>
        <w:t>º</w:t>
      </w:r>
      <w:r>
        <w:rPr>
          <w:sz w:val="28"/>
          <w:szCs w:val="28"/>
        </w:rPr>
        <w:t>К они принадлежали к области гомогенности γ</w:t>
      </w:r>
      <w:r>
        <w:rPr>
          <w:sz w:val="28"/>
          <w:szCs w:val="28"/>
          <w:vertAlign w:val="subscript"/>
        </w:rPr>
        <w:t>Co</w:t>
      </w:r>
      <w:r>
        <w:rPr>
          <w:sz w:val="28"/>
          <w:szCs w:val="28"/>
        </w:rPr>
        <w:t>-твердого раствора, а при 1200</w:t>
      </w:r>
      <w:r>
        <w:rPr>
          <w:color w:val="FFFFFF"/>
          <w:sz w:val="28"/>
          <w:szCs w:val="28"/>
        </w:rPr>
        <w:t>º</w:t>
      </w:r>
      <w:r>
        <w:rPr>
          <w:sz w:val="28"/>
          <w:szCs w:val="28"/>
        </w:rPr>
        <w:t>К относились к двухфазным областям γ</w:t>
      </w:r>
      <w:r>
        <w:rPr>
          <w:sz w:val="28"/>
          <w:szCs w:val="28"/>
          <w:vertAlign w:val="subscript"/>
        </w:rPr>
        <w:t>Co</w:t>
      </w:r>
      <w:r>
        <w:rPr>
          <w:sz w:val="28"/>
          <w:szCs w:val="28"/>
        </w:rPr>
        <w:t>-матрицы с фазами Лавеса и фазой Co</w:t>
      </w:r>
      <w:r>
        <w:rPr>
          <w:sz w:val="28"/>
          <w:szCs w:val="28"/>
          <w:vertAlign w:val="subscript"/>
        </w:rPr>
        <w:t>3</w:t>
      </w:r>
      <w:r>
        <w:rPr>
          <w:sz w:val="28"/>
          <w:szCs w:val="28"/>
        </w:rPr>
        <w:t>Nb.</w:t>
      </w:r>
    </w:p>
    <w:p w14:paraId="455AA2A0">
      <w:pPr>
        <w:spacing w:before="120" w:line="360" w:lineRule="auto"/>
        <w:ind w:firstLine="709"/>
        <w:jc w:val="both"/>
        <w:rPr>
          <w:sz w:val="28"/>
          <w:szCs w:val="28"/>
        </w:rPr>
      </w:pPr>
      <w:r>
        <w:rPr>
          <w:sz w:val="28"/>
          <w:szCs w:val="28"/>
        </w:rPr>
        <w:t>В ходе работы для приготовления сплавов использовали кобальт электролитический (99,99 мас. %) в виде компакта и порошка, ниобий (99,84 мас. %) в виде фольги и порошкообразный рений (99,95 мас. %). Масса сплавов составляла, в зависимости от задачи, 3 или 6 грамм. Образцы синтезировали в электродуговой печи с нерасходуемым вольфрамовым электродом в атмосфере аргона c шестикратным переплавом. При первом плавлении во избежание непроплавленных участков, связанных с наличием в шихте тугоплавкого рения, который при более высоком содержании требует использования индукционной печи, сама шихта располагалась в лунке поддона следующим образом: на дно помещали кусочки кобальта в виде компакта, засыпая между ними смесь кобальтового порошка и гранул рения, а ниобиевая фольга помещалась сверху.</w:t>
      </w:r>
    </w:p>
    <w:p w14:paraId="12ECD260">
      <w:pPr>
        <w:spacing w:before="120" w:line="360" w:lineRule="auto"/>
        <w:jc w:val="both"/>
        <w:rPr>
          <w:sz w:val="28"/>
          <w:szCs w:val="28"/>
        </w:rPr>
      </w:pPr>
    </w:p>
    <w:p w14:paraId="2F13DBA7">
      <w:pPr>
        <w:spacing w:before="120" w:line="360" w:lineRule="auto"/>
        <w:jc w:val="both"/>
        <w:rPr>
          <w:sz w:val="28"/>
          <w:szCs w:val="28"/>
        </w:rPr>
      </w:pPr>
    </w:p>
    <w:p w14:paraId="6180FC60">
      <w:pPr>
        <w:spacing w:before="120" w:line="360" w:lineRule="auto"/>
        <w:jc w:val="both"/>
        <w:rPr>
          <w:sz w:val="28"/>
          <w:szCs w:val="28"/>
        </w:rPr>
      </w:pPr>
    </w:p>
    <w:p w14:paraId="4982BC6A">
      <w:pPr>
        <w:spacing w:before="120" w:line="360" w:lineRule="auto"/>
        <w:jc w:val="both"/>
        <w:rPr>
          <w:sz w:val="28"/>
          <w:szCs w:val="28"/>
        </w:rPr>
      </w:pPr>
    </w:p>
    <w:p w14:paraId="35B72F27">
      <w:pPr>
        <w:spacing w:before="120" w:line="360" w:lineRule="auto"/>
        <w:jc w:val="both"/>
        <w:rPr>
          <w:sz w:val="28"/>
          <w:szCs w:val="28"/>
        </w:rPr>
      </w:pPr>
    </w:p>
    <w:p w14:paraId="38994ED5">
      <w:pPr>
        <w:spacing w:before="120" w:line="360" w:lineRule="auto"/>
        <w:jc w:val="both"/>
        <w:rPr>
          <w:sz w:val="28"/>
          <w:szCs w:val="28"/>
        </w:rPr>
      </w:pPr>
    </w:p>
    <w:p w14:paraId="3133D558">
      <w:pPr>
        <w:spacing w:before="120" w:line="360" w:lineRule="auto"/>
        <w:jc w:val="both"/>
        <w:rPr>
          <w:sz w:val="28"/>
          <w:szCs w:val="28"/>
        </w:rPr>
      </w:pPr>
    </w:p>
    <w:p w14:paraId="2A630EE3">
      <w:pPr>
        <w:spacing w:before="120" w:line="360" w:lineRule="auto"/>
        <w:jc w:val="both"/>
        <w:rPr>
          <w:sz w:val="28"/>
          <w:szCs w:val="28"/>
        </w:rPr>
      </w:pPr>
    </w:p>
    <w:p w14:paraId="367AAC2C">
      <w:pPr>
        <w:spacing w:before="120" w:line="360" w:lineRule="auto"/>
        <w:jc w:val="both"/>
        <w:rPr>
          <w:sz w:val="28"/>
          <w:szCs w:val="28"/>
        </w:rPr>
      </w:pPr>
    </w:p>
    <w:p w14:paraId="062EA4EA">
      <w:pPr>
        <w:spacing w:before="120" w:line="360" w:lineRule="auto"/>
        <w:jc w:val="both"/>
        <w:rPr>
          <w:sz w:val="28"/>
          <w:szCs w:val="28"/>
        </w:rPr>
      </w:pPr>
    </w:p>
    <w:p w14:paraId="5DB7AABB">
      <w:pPr>
        <w:spacing w:before="120" w:line="360" w:lineRule="auto"/>
        <w:jc w:val="both"/>
        <w:rPr>
          <w:sz w:val="28"/>
          <w:szCs w:val="28"/>
          <w:lang w:val="en-US"/>
        </w:rPr>
      </w:pPr>
    </w:p>
    <w:p w14:paraId="4C51D677">
      <w:pPr>
        <w:spacing w:before="120" w:line="360" w:lineRule="auto"/>
        <w:jc w:val="both"/>
        <w:rPr>
          <w:sz w:val="28"/>
          <w:szCs w:val="28"/>
          <w:lang w:val="en-US"/>
        </w:rPr>
      </w:pPr>
    </w:p>
    <w:p w14:paraId="21D5781B">
      <w:pPr>
        <w:spacing w:before="120" w:line="360" w:lineRule="auto"/>
        <w:jc w:val="both"/>
        <w:rPr>
          <w:sz w:val="28"/>
          <w:szCs w:val="28"/>
          <w:lang w:val="en-US"/>
        </w:rPr>
      </w:pPr>
    </w:p>
    <w:p w14:paraId="15C07768">
      <w:pPr>
        <w:spacing w:before="120" w:line="360" w:lineRule="auto"/>
        <w:ind w:firstLine="709"/>
        <w:jc w:val="both"/>
        <w:rPr>
          <w:sz w:val="26"/>
          <w:szCs w:val="26"/>
        </w:rPr>
      </w:pPr>
    </w:p>
    <w:p w14:paraId="07CAB150">
      <w:pPr>
        <w:pStyle w:val="2"/>
        <w:numPr>
          <w:ilvl w:val="0"/>
          <w:numId w:val="2"/>
        </w:numPr>
        <w:rPr>
          <w:rFonts w:cs="Times New Roman"/>
        </w:rPr>
      </w:pPr>
      <w:bookmarkStart w:id="20" w:name="_Toc167999807"/>
      <w:r>
        <w:rPr>
          <w:rFonts w:cs="Times New Roman"/>
        </w:rPr>
        <w:t>Результаты и обсуждение</w:t>
      </w:r>
      <w:bookmarkEnd w:id="20"/>
    </w:p>
    <w:p w14:paraId="28279F97">
      <w:pPr>
        <w:spacing w:before="240"/>
        <w:ind w:left="357"/>
        <w:jc w:val="center"/>
        <w:rPr>
          <w:sz w:val="28"/>
          <w:szCs w:val="28"/>
        </w:rPr>
      </w:pPr>
      <w:r>
        <w:rPr>
          <w:i/>
          <w:sz w:val="28"/>
          <w:szCs w:val="28"/>
        </w:rPr>
        <w:t>Таблица 3</w:t>
      </w:r>
      <w:r>
        <w:rPr>
          <w:sz w:val="28"/>
          <w:szCs w:val="28"/>
        </w:rPr>
        <w:t>. Зависимость твердости сплавов от состава и температурно-временного режима гомогенизирующего отжига.</w:t>
      </w:r>
    </w:p>
    <w:p w14:paraId="79EAF869">
      <w:pPr>
        <w:rPr>
          <w:lang w:eastAsia="en-US"/>
        </w:rPr>
      </w:pPr>
    </w:p>
    <w:tbl>
      <w:tblPr>
        <w:tblStyle w:val="6"/>
        <w:tblW w:w="93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98"/>
        <w:gridCol w:w="940"/>
        <w:gridCol w:w="993"/>
        <w:gridCol w:w="994"/>
        <w:gridCol w:w="1843"/>
        <w:gridCol w:w="1844"/>
        <w:gridCol w:w="1848"/>
      </w:tblGrid>
      <w:tr w14:paraId="026ED3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98" w:type="dxa"/>
            <w:vMerge w:val="restart"/>
            <w:vAlign w:val="center"/>
          </w:tcPr>
          <w:p w14:paraId="3B6A7A13">
            <w:pPr>
              <w:spacing w:line="360" w:lineRule="auto"/>
              <w:jc w:val="both"/>
              <w:rPr>
                <w:sz w:val="26"/>
                <w:szCs w:val="26"/>
              </w:rPr>
            </w:pPr>
            <w:r>
              <w:rPr>
                <w:sz w:val="26"/>
                <w:szCs w:val="26"/>
              </w:rPr>
              <w:t xml:space="preserve">№ </w:t>
            </w:r>
          </w:p>
          <w:p w14:paraId="410D35FD">
            <w:pPr>
              <w:spacing w:line="360" w:lineRule="auto"/>
              <w:jc w:val="both"/>
              <w:rPr>
                <w:sz w:val="26"/>
                <w:szCs w:val="26"/>
              </w:rPr>
            </w:pPr>
            <w:r>
              <w:t>сплава</w:t>
            </w:r>
          </w:p>
        </w:tc>
        <w:tc>
          <w:tcPr>
            <w:tcW w:w="2927" w:type="dxa"/>
            <w:gridSpan w:val="3"/>
            <w:vAlign w:val="center"/>
          </w:tcPr>
          <w:p w14:paraId="73986E7D">
            <w:pPr>
              <w:spacing w:line="360" w:lineRule="auto"/>
              <w:jc w:val="center"/>
              <w:rPr>
                <w:sz w:val="26"/>
                <w:szCs w:val="26"/>
              </w:rPr>
            </w:pPr>
            <w:r>
              <w:rPr>
                <w:sz w:val="26"/>
                <w:szCs w:val="26"/>
              </w:rPr>
              <w:t>Концентрация элементов в сплаве, ат.%</w:t>
            </w:r>
          </w:p>
        </w:tc>
        <w:tc>
          <w:tcPr>
            <w:tcW w:w="5535" w:type="dxa"/>
            <w:gridSpan w:val="3"/>
            <w:vAlign w:val="center"/>
          </w:tcPr>
          <w:p w14:paraId="74024822">
            <w:pPr>
              <w:spacing w:line="360" w:lineRule="auto"/>
              <w:jc w:val="center"/>
              <w:rPr>
                <w:sz w:val="26"/>
                <w:szCs w:val="26"/>
              </w:rPr>
            </w:pPr>
            <w:r>
              <w:rPr>
                <w:sz w:val="26"/>
                <w:szCs w:val="26"/>
              </w:rPr>
              <w:t>Твердость, HV</w:t>
            </w:r>
          </w:p>
        </w:tc>
      </w:tr>
      <w:tr w14:paraId="0DCD55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continue"/>
            <w:vAlign w:val="center"/>
          </w:tcPr>
          <w:p w14:paraId="6CD0B1CB">
            <w:pPr>
              <w:widowControl w:val="0"/>
              <w:pBdr>
                <w:top w:val="none" w:color="auto" w:sz="0" w:space="0"/>
                <w:left w:val="none" w:color="auto" w:sz="0" w:space="0"/>
                <w:bottom w:val="none" w:color="auto" w:sz="0" w:space="0"/>
                <w:right w:val="none" w:color="auto" w:sz="0" w:space="0"/>
                <w:between w:val="none" w:color="auto" w:sz="0" w:space="0"/>
              </w:pBdr>
              <w:spacing w:line="276" w:lineRule="auto"/>
              <w:rPr>
                <w:sz w:val="26"/>
                <w:szCs w:val="26"/>
              </w:rPr>
            </w:pPr>
          </w:p>
        </w:tc>
        <w:tc>
          <w:tcPr>
            <w:tcW w:w="940" w:type="dxa"/>
            <w:vAlign w:val="center"/>
          </w:tcPr>
          <w:p w14:paraId="4A30EEBA">
            <w:pPr>
              <w:spacing w:line="360" w:lineRule="auto"/>
              <w:jc w:val="center"/>
              <w:rPr>
                <w:sz w:val="26"/>
                <w:szCs w:val="26"/>
              </w:rPr>
            </w:pPr>
            <w:r>
              <w:rPr>
                <w:sz w:val="26"/>
                <w:szCs w:val="26"/>
              </w:rPr>
              <w:t>Co</w:t>
            </w:r>
          </w:p>
        </w:tc>
        <w:tc>
          <w:tcPr>
            <w:tcW w:w="993" w:type="dxa"/>
            <w:vAlign w:val="center"/>
          </w:tcPr>
          <w:p w14:paraId="69C39229">
            <w:pPr>
              <w:spacing w:line="360" w:lineRule="auto"/>
              <w:jc w:val="center"/>
              <w:rPr>
                <w:sz w:val="26"/>
                <w:szCs w:val="26"/>
              </w:rPr>
            </w:pPr>
            <w:r>
              <w:rPr>
                <w:sz w:val="26"/>
                <w:szCs w:val="26"/>
              </w:rPr>
              <w:t>Nb</w:t>
            </w:r>
          </w:p>
        </w:tc>
        <w:tc>
          <w:tcPr>
            <w:tcW w:w="994" w:type="dxa"/>
            <w:vAlign w:val="center"/>
          </w:tcPr>
          <w:p w14:paraId="764F62C4">
            <w:pPr>
              <w:spacing w:line="360" w:lineRule="auto"/>
              <w:jc w:val="center"/>
              <w:rPr>
                <w:sz w:val="26"/>
                <w:szCs w:val="26"/>
              </w:rPr>
            </w:pPr>
            <w:r>
              <w:rPr>
                <w:sz w:val="26"/>
                <w:szCs w:val="26"/>
              </w:rPr>
              <w:t>Re</w:t>
            </w:r>
          </w:p>
        </w:tc>
        <w:tc>
          <w:tcPr>
            <w:tcW w:w="1843" w:type="dxa"/>
            <w:vAlign w:val="center"/>
          </w:tcPr>
          <w:p w14:paraId="6652C02B">
            <w:pPr>
              <w:spacing w:line="360" w:lineRule="auto"/>
              <w:jc w:val="center"/>
              <w:rPr>
                <w:sz w:val="26"/>
                <w:szCs w:val="26"/>
              </w:rPr>
            </w:pPr>
            <w:r>
              <w:rPr>
                <w:sz w:val="26"/>
                <w:szCs w:val="26"/>
              </w:rPr>
              <w:t>1375 К, 48 ч,</w:t>
            </w:r>
          </w:p>
          <w:p w14:paraId="515DBCC7">
            <w:pPr>
              <w:spacing w:line="360" w:lineRule="auto"/>
              <w:jc w:val="center"/>
              <w:rPr>
                <w:sz w:val="26"/>
                <w:szCs w:val="26"/>
              </w:rPr>
            </w:pPr>
            <w:r>
              <w:rPr>
                <w:sz w:val="26"/>
                <w:szCs w:val="26"/>
              </w:rPr>
              <w:t>~10000 К/мин</w:t>
            </w:r>
          </w:p>
        </w:tc>
        <w:tc>
          <w:tcPr>
            <w:tcW w:w="1844" w:type="dxa"/>
            <w:vAlign w:val="center"/>
          </w:tcPr>
          <w:p w14:paraId="380BCD46">
            <w:pPr>
              <w:spacing w:line="360" w:lineRule="auto"/>
              <w:jc w:val="center"/>
              <w:rPr>
                <w:sz w:val="26"/>
                <w:szCs w:val="26"/>
              </w:rPr>
            </w:pPr>
            <w:r>
              <w:rPr>
                <w:sz w:val="26"/>
                <w:szCs w:val="26"/>
              </w:rPr>
              <w:t>1375 К, 48 ч,</w:t>
            </w:r>
          </w:p>
          <w:p w14:paraId="4DC088FC">
            <w:pPr>
              <w:spacing w:line="360" w:lineRule="auto"/>
              <w:jc w:val="both"/>
              <w:rPr>
                <w:sz w:val="26"/>
                <w:szCs w:val="26"/>
              </w:rPr>
            </w:pPr>
            <w:r>
              <w:rPr>
                <w:sz w:val="26"/>
                <w:szCs w:val="26"/>
              </w:rPr>
              <w:t>~1000 К/мин</w:t>
            </w:r>
          </w:p>
        </w:tc>
        <w:tc>
          <w:tcPr>
            <w:tcW w:w="1848" w:type="dxa"/>
            <w:vAlign w:val="center"/>
          </w:tcPr>
          <w:p w14:paraId="50D0C48D">
            <w:pPr>
              <w:spacing w:line="360" w:lineRule="auto"/>
              <w:jc w:val="center"/>
              <w:rPr>
                <w:sz w:val="26"/>
                <w:szCs w:val="26"/>
              </w:rPr>
            </w:pPr>
            <w:r>
              <w:rPr>
                <w:sz w:val="26"/>
                <w:szCs w:val="26"/>
              </w:rPr>
              <w:t>1375 К, 100 ч,</w:t>
            </w:r>
          </w:p>
          <w:p w14:paraId="78737ADE">
            <w:pPr>
              <w:spacing w:line="360" w:lineRule="auto"/>
              <w:jc w:val="both"/>
              <w:rPr>
                <w:sz w:val="26"/>
                <w:szCs w:val="26"/>
              </w:rPr>
            </w:pPr>
            <w:r>
              <w:rPr>
                <w:sz w:val="26"/>
                <w:szCs w:val="26"/>
              </w:rPr>
              <w:t>~10000 К/мин</w:t>
            </w:r>
          </w:p>
        </w:tc>
      </w:tr>
      <w:tr w14:paraId="6589A4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Align w:val="center"/>
          </w:tcPr>
          <w:p w14:paraId="6520AB63">
            <w:pPr>
              <w:spacing w:line="360" w:lineRule="auto"/>
              <w:jc w:val="center"/>
              <w:rPr>
                <w:sz w:val="26"/>
                <w:szCs w:val="26"/>
              </w:rPr>
            </w:pPr>
            <w:r>
              <w:rPr>
                <w:sz w:val="26"/>
                <w:szCs w:val="26"/>
              </w:rPr>
              <w:t>Р.З.</w:t>
            </w:r>
          </w:p>
        </w:tc>
        <w:tc>
          <w:tcPr>
            <w:tcW w:w="940" w:type="dxa"/>
            <w:vAlign w:val="center"/>
          </w:tcPr>
          <w:p w14:paraId="1E48598C">
            <w:pPr>
              <w:spacing w:line="360" w:lineRule="auto"/>
              <w:jc w:val="center"/>
              <w:rPr>
                <w:sz w:val="26"/>
                <w:szCs w:val="26"/>
              </w:rPr>
            </w:pPr>
            <w:r>
              <w:rPr>
                <w:sz w:val="26"/>
                <w:szCs w:val="26"/>
              </w:rPr>
              <w:t>100</w:t>
            </w:r>
          </w:p>
        </w:tc>
        <w:tc>
          <w:tcPr>
            <w:tcW w:w="993" w:type="dxa"/>
            <w:vAlign w:val="center"/>
          </w:tcPr>
          <w:p w14:paraId="1B84531D">
            <w:pPr>
              <w:spacing w:line="360" w:lineRule="auto"/>
              <w:jc w:val="center"/>
              <w:rPr>
                <w:sz w:val="26"/>
                <w:szCs w:val="26"/>
              </w:rPr>
            </w:pPr>
            <w:r>
              <w:rPr>
                <w:sz w:val="26"/>
                <w:szCs w:val="26"/>
              </w:rPr>
              <w:t>0</w:t>
            </w:r>
          </w:p>
        </w:tc>
        <w:tc>
          <w:tcPr>
            <w:tcW w:w="994" w:type="dxa"/>
            <w:vAlign w:val="center"/>
          </w:tcPr>
          <w:p w14:paraId="7CEF0658">
            <w:pPr>
              <w:spacing w:line="360" w:lineRule="auto"/>
              <w:jc w:val="center"/>
              <w:rPr>
                <w:sz w:val="26"/>
                <w:szCs w:val="26"/>
              </w:rPr>
            </w:pPr>
            <w:r>
              <w:rPr>
                <w:sz w:val="26"/>
                <w:szCs w:val="26"/>
              </w:rPr>
              <w:t>0</w:t>
            </w:r>
          </w:p>
        </w:tc>
        <w:tc>
          <w:tcPr>
            <w:tcW w:w="1843" w:type="dxa"/>
            <w:vAlign w:val="center"/>
          </w:tcPr>
          <w:p w14:paraId="20EBE3AE">
            <w:pPr>
              <w:spacing w:line="360" w:lineRule="auto"/>
              <w:jc w:val="center"/>
              <w:rPr>
                <w:sz w:val="26"/>
                <w:szCs w:val="26"/>
              </w:rPr>
            </w:pPr>
            <w:r>
              <w:rPr>
                <w:color w:val="000000"/>
                <w:sz w:val="26"/>
                <w:szCs w:val="26"/>
              </w:rPr>
              <w:t>233±8</w:t>
            </w:r>
          </w:p>
        </w:tc>
        <w:tc>
          <w:tcPr>
            <w:tcW w:w="1844" w:type="dxa"/>
            <w:vAlign w:val="center"/>
          </w:tcPr>
          <w:p w14:paraId="4B319E85">
            <w:pPr>
              <w:spacing w:line="360" w:lineRule="auto"/>
              <w:jc w:val="center"/>
              <w:rPr>
                <w:sz w:val="26"/>
                <w:szCs w:val="26"/>
              </w:rPr>
            </w:pPr>
            <w:r>
              <w:rPr>
                <w:sz w:val="26"/>
                <w:szCs w:val="26"/>
              </w:rPr>
              <w:t>-</w:t>
            </w:r>
          </w:p>
        </w:tc>
        <w:tc>
          <w:tcPr>
            <w:tcW w:w="1848" w:type="dxa"/>
            <w:vAlign w:val="center"/>
          </w:tcPr>
          <w:p w14:paraId="324EFC28">
            <w:pPr>
              <w:spacing w:line="360" w:lineRule="auto"/>
              <w:jc w:val="center"/>
              <w:rPr>
                <w:sz w:val="26"/>
                <w:szCs w:val="26"/>
              </w:rPr>
            </w:pPr>
            <w:r>
              <w:rPr>
                <w:sz w:val="26"/>
                <w:szCs w:val="26"/>
              </w:rPr>
              <w:t>-</w:t>
            </w:r>
          </w:p>
        </w:tc>
      </w:tr>
      <w:tr w14:paraId="62E986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Align w:val="center"/>
          </w:tcPr>
          <w:p w14:paraId="5995CA45">
            <w:pPr>
              <w:spacing w:line="360" w:lineRule="auto"/>
              <w:jc w:val="center"/>
              <w:rPr>
                <w:sz w:val="26"/>
                <w:szCs w:val="26"/>
              </w:rPr>
            </w:pPr>
            <w:r>
              <w:rPr>
                <w:sz w:val="26"/>
                <w:szCs w:val="26"/>
              </w:rPr>
              <w:t>1.</w:t>
            </w:r>
          </w:p>
        </w:tc>
        <w:tc>
          <w:tcPr>
            <w:tcW w:w="940" w:type="dxa"/>
            <w:vAlign w:val="center"/>
          </w:tcPr>
          <w:p w14:paraId="7ABEC1F9">
            <w:pPr>
              <w:spacing w:line="360" w:lineRule="auto"/>
              <w:jc w:val="center"/>
              <w:rPr>
                <w:sz w:val="26"/>
                <w:szCs w:val="26"/>
              </w:rPr>
            </w:pPr>
            <w:r>
              <w:rPr>
                <w:sz w:val="26"/>
                <w:szCs w:val="26"/>
              </w:rPr>
              <w:t>97,7</w:t>
            </w:r>
          </w:p>
        </w:tc>
        <w:tc>
          <w:tcPr>
            <w:tcW w:w="993" w:type="dxa"/>
            <w:vAlign w:val="center"/>
          </w:tcPr>
          <w:p w14:paraId="4EFF30E4">
            <w:pPr>
              <w:spacing w:line="360" w:lineRule="auto"/>
              <w:jc w:val="center"/>
              <w:rPr>
                <w:sz w:val="26"/>
                <w:szCs w:val="26"/>
              </w:rPr>
            </w:pPr>
            <w:r>
              <w:rPr>
                <w:sz w:val="26"/>
                <w:szCs w:val="26"/>
              </w:rPr>
              <w:t>2,3</w:t>
            </w:r>
          </w:p>
        </w:tc>
        <w:tc>
          <w:tcPr>
            <w:tcW w:w="994" w:type="dxa"/>
            <w:vAlign w:val="center"/>
          </w:tcPr>
          <w:p w14:paraId="65080DAB">
            <w:pPr>
              <w:spacing w:line="360" w:lineRule="auto"/>
              <w:jc w:val="center"/>
              <w:rPr>
                <w:sz w:val="26"/>
                <w:szCs w:val="26"/>
              </w:rPr>
            </w:pPr>
            <w:r>
              <w:rPr>
                <w:sz w:val="26"/>
                <w:szCs w:val="26"/>
              </w:rPr>
              <w:t>0</w:t>
            </w:r>
          </w:p>
        </w:tc>
        <w:tc>
          <w:tcPr>
            <w:tcW w:w="1843" w:type="dxa"/>
            <w:vAlign w:val="center"/>
          </w:tcPr>
          <w:p w14:paraId="74BBD29A">
            <w:pPr>
              <w:spacing w:line="360" w:lineRule="auto"/>
              <w:jc w:val="center"/>
              <w:rPr>
                <w:sz w:val="26"/>
                <w:szCs w:val="26"/>
              </w:rPr>
            </w:pPr>
            <w:r>
              <w:rPr>
                <w:sz w:val="26"/>
                <w:szCs w:val="26"/>
              </w:rPr>
              <w:t>245</w:t>
            </w:r>
            <w:r>
              <w:rPr>
                <w:color w:val="000000"/>
                <w:sz w:val="26"/>
                <w:szCs w:val="26"/>
              </w:rPr>
              <w:t>±15</w:t>
            </w:r>
          </w:p>
        </w:tc>
        <w:tc>
          <w:tcPr>
            <w:tcW w:w="1844" w:type="dxa"/>
            <w:vAlign w:val="center"/>
          </w:tcPr>
          <w:p w14:paraId="5A72E17B">
            <w:pPr>
              <w:spacing w:line="360" w:lineRule="auto"/>
              <w:jc w:val="center"/>
              <w:rPr>
                <w:sz w:val="26"/>
                <w:szCs w:val="26"/>
              </w:rPr>
            </w:pPr>
            <w:r>
              <w:rPr>
                <w:sz w:val="26"/>
                <w:szCs w:val="26"/>
              </w:rPr>
              <w:t>246±11</w:t>
            </w:r>
          </w:p>
        </w:tc>
        <w:tc>
          <w:tcPr>
            <w:tcW w:w="1848" w:type="dxa"/>
            <w:vAlign w:val="center"/>
          </w:tcPr>
          <w:p w14:paraId="1A505D7D">
            <w:pPr>
              <w:spacing w:line="360" w:lineRule="auto"/>
              <w:jc w:val="center"/>
              <w:rPr>
                <w:sz w:val="26"/>
                <w:szCs w:val="26"/>
              </w:rPr>
            </w:pPr>
            <w:r>
              <w:rPr>
                <w:sz w:val="26"/>
                <w:szCs w:val="26"/>
              </w:rPr>
              <w:t>-</w:t>
            </w:r>
          </w:p>
        </w:tc>
      </w:tr>
      <w:tr w14:paraId="613D21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Align w:val="center"/>
          </w:tcPr>
          <w:p w14:paraId="6B36AE80">
            <w:pPr>
              <w:spacing w:line="360" w:lineRule="auto"/>
              <w:jc w:val="center"/>
              <w:rPr>
                <w:sz w:val="26"/>
                <w:szCs w:val="26"/>
              </w:rPr>
            </w:pPr>
            <w:r>
              <w:rPr>
                <w:sz w:val="26"/>
                <w:szCs w:val="26"/>
              </w:rPr>
              <w:t>2.</w:t>
            </w:r>
          </w:p>
        </w:tc>
        <w:tc>
          <w:tcPr>
            <w:tcW w:w="940" w:type="dxa"/>
            <w:vAlign w:val="center"/>
          </w:tcPr>
          <w:p w14:paraId="4402CF57">
            <w:pPr>
              <w:spacing w:line="360" w:lineRule="auto"/>
              <w:jc w:val="center"/>
              <w:rPr>
                <w:sz w:val="26"/>
                <w:szCs w:val="26"/>
              </w:rPr>
            </w:pPr>
            <w:r>
              <w:rPr>
                <w:sz w:val="26"/>
                <w:szCs w:val="26"/>
              </w:rPr>
              <w:t>95,1</w:t>
            </w:r>
          </w:p>
        </w:tc>
        <w:tc>
          <w:tcPr>
            <w:tcW w:w="993" w:type="dxa"/>
            <w:vAlign w:val="center"/>
          </w:tcPr>
          <w:p w14:paraId="6C34DE79">
            <w:pPr>
              <w:spacing w:line="360" w:lineRule="auto"/>
              <w:jc w:val="center"/>
              <w:rPr>
                <w:sz w:val="26"/>
                <w:szCs w:val="26"/>
              </w:rPr>
            </w:pPr>
            <w:r>
              <w:rPr>
                <w:sz w:val="26"/>
                <w:szCs w:val="26"/>
              </w:rPr>
              <w:t>4,9</w:t>
            </w:r>
          </w:p>
        </w:tc>
        <w:tc>
          <w:tcPr>
            <w:tcW w:w="994" w:type="dxa"/>
            <w:vAlign w:val="center"/>
          </w:tcPr>
          <w:p w14:paraId="2551E241">
            <w:pPr>
              <w:spacing w:line="360" w:lineRule="auto"/>
              <w:jc w:val="center"/>
              <w:rPr>
                <w:sz w:val="26"/>
                <w:szCs w:val="26"/>
              </w:rPr>
            </w:pPr>
            <w:r>
              <w:rPr>
                <w:sz w:val="26"/>
                <w:szCs w:val="26"/>
              </w:rPr>
              <w:t>0</w:t>
            </w:r>
          </w:p>
        </w:tc>
        <w:tc>
          <w:tcPr>
            <w:tcW w:w="1843" w:type="dxa"/>
            <w:vAlign w:val="center"/>
          </w:tcPr>
          <w:p w14:paraId="34E0360B">
            <w:pPr>
              <w:spacing w:line="360" w:lineRule="auto"/>
              <w:jc w:val="center"/>
              <w:rPr>
                <w:sz w:val="26"/>
                <w:szCs w:val="26"/>
              </w:rPr>
            </w:pPr>
            <w:r>
              <w:rPr>
                <w:sz w:val="26"/>
                <w:szCs w:val="26"/>
              </w:rPr>
              <w:t>258±9</w:t>
            </w:r>
          </w:p>
        </w:tc>
        <w:tc>
          <w:tcPr>
            <w:tcW w:w="1844" w:type="dxa"/>
            <w:vAlign w:val="center"/>
          </w:tcPr>
          <w:p w14:paraId="6C932F75">
            <w:pPr>
              <w:spacing w:line="360" w:lineRule="auto"/>
              <w:jc w:val="center"/>
              <w:rPr>
                <w:sz w:val="26"/>
                <w:szCs w:val="26"/>
              </w:rPr>
            </w:pPr>
            <w:r>
              <w:rPr>
                <w:sz w:val="26"/>
                <w:szCs w:val="26"/>
              </w:rPr>
              <w:t>354±20</w:t>
            </w:r>
          </w:p>
        </w:tc>
        <w:tc>
          <w:tcPr>
            <w:tcW w:w="1848" w:type="dxa"/>
            <w:vAlign w:val="center"/>
          </w:tcPr>
          <w:p w14:paraId="37F38214">
            <w:pPr>
              <w:spacing w:line="360" w:lineRule="auto"/>
              <w:jc w:val="center"/>
              <w:rPr>
                <w:sz w:val="26"/>
                <w:szCs w:val="26"/>
              </w:rPr>
            </w:pPr>
            <w:r>
              <w:rPr>
                <w:sz w:val="26"/>
                <w:szCs w:val="26"/>
              </w:rPr>
              <w:t>400±13</w:t>
            </w:r>
          </w:p>
        </w:tc>
      </w:tr>
      <w:tr w14:paraId="468B28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Align w:val="center"/>
          </w:tcPr>
          <w:p w14:paraId="6A902F0F">
            <w:pPr>
              <w:spacing w:line="360" w:lineRule="auto"/>
              <w:jc w:val="center"/>
              <w:rPr>
                <w:sz w:val="26"/>
                <w:szCs w:val="26"/>
              </w:rPr>
            </w:pPr>
            <w:r>
              <w:rPr>
                <w:sz w:val="26"/>
                <w:szCs w:val="26"/>
              </w:rPr>
              <w:t>3.</w:t>
            </w:r>
          </w:p>
        </w:tc>
        <w:tc>
          <w:tcPr>
            <w:tcW w:w="940" w:type="dxa"/>
            <w:vAlign w:val="center"/>
          </w:tcPr>
          <w:p w14:paraId="35F0DB13">
            <w:pPr>
              <w:spacing w:line="360" w:lineRule="auto"/>
              <w:jc w:val="center"/>
              <w:rPr>
                <w:sz w:val="26"/>
                <w:szCs w:val="26"/>
              </w:rPr>
            </w:pPr>
            <w:r>
              <w:rPr>
                <w:sz w:val="26"/>
                <w:szCs w:val="26"/>
              </w:rPr>
              <w:t>92,1</w:t>
            </w:r>
          </w:p>
        </w:tc>
        <w:tc>
          <w:tcPr>
            <w:tcW w:w="993" w:type="dxa"/>
            <w:vAlign w:val="center"/>
          </w:tcPr>
          <w:p w14:paraId="4997ACAA">
            <w:pPr>
              <w:spacing w:line="360" w:lineRule="auto"/>
              <w:jc w:val="center"/>
              <w:rPr>
                <w:sz w:val="26"/>
                <w:szCs w:val="26"/>
              </w:rPr>
            </w:pPr>
            <w:r>
              <w:rPr>
                <w:sz w:val="26"/>
                <w:szCs w:val="26"/>
              </w:rPr>
              <w:t>2,2</w:t>
            </w:r>
          </w:p>
        </w:tc>
        <w:tc>
          <w:tcPr>
            <w:tcW w:w="994" w:type="dxa"/>
            <w:vAlign w:val="center"/>
          </w:tcPr>
          <w:p w14:paraId="7EC5C2B7">
            <w:pPr>
              <w:spacing w:line="360" w:lineRule="auto"/>
              <w:jc w:val="center"/>
              <w:rPr>
                <w:sz w:val="26"/>
                <w:szCs w:val="26"/>
              </w:rPr>
            </w:pPr>
            <w:r>
              <w:rPr>
                <w:sz w:val="26"/>
                <w:szCs w:val="26"/>
              </w:rPr>
              <w:t>5,7</w:t>
            </w:r>
          </w:p>
        </w:tc>
        <w:tc>
          <w:tcPr>
            <w:tcW w:w="1843" w:type="dxa"/>
            <w:vAlign w:val="center"/>
          </w:tcPr>
          <w:p w14:paraId="2B9D378C">
            <w:pPr>
              <w:spacing w:line="360" w:lineRule="auto"/>
              <w:jc w:val="center"/>
              <w:rPr>
                <w:sz w:val="26"/>
                <w:szCs w:val="26"/>
              </w:rPr>
            </w:pPr>
            <w:r>
              <w:rPr>
                <w:sz w:val="26"/>
                <w:szCs w:val="26"/>
              </w:rPr>
              <w:t>323±14</w:t>
            </w:r>
          </w:p>
        </w:tc>
        <w:tc>
          <w:tcPr>
            <w:tcW w:w="1844" w:type="dxa"/>
            <w:vAlign w:val="center"/>
          </w:tcPr>
          <w:p w14:paraId="6FD8B9BE">
            <w:pPr>
              <w:spacing w:line="360" w:lineRule="auto"/>
              <w:jc w:val="center"/>
              <w:rPr>
                <w:sz w:val="26"/>
                <w:szCs w:val="26"/>
              </w:rPr>
            </w:pPr>
            <w:r>
              <w:rPr>
                <w:sz w:val="26"/>
                <w:szCs w:val="26"/>
              </w:rPr>
              <w:t>322±11</w:t>
            </w:r>
          </w:p>
        </w:tc>
        <w:tc>
          <w:tcPr>
            <w:tcW w:w="1848" w:type="dxa"/>
            <w:vAlign w:val="center"/>
          </w:tcPr>
          <w:p w14:paraId="2871DB29">
            <w:pPr>
              <w:spacing w:line="360" w:lineRule="auto"/>
              <w:jc w:val="center"/>
              <w:rPr>
                <w:sz w:val="26"/>
                <w:szCs w:val="26"/>
              </w:rPr>
            </w:pPr>
            <w:r>
              <w:rPr>
                <w:sz w:val="26"/>
                <w:szCs w:val="26"/>
              </w:rPr>
              <w:t>-</w:t>
            </w:r>
          </w:p>
        </w:tc>
      </w:tr>
      <w:tr w14:paraId="196FFF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Align w:val="center"/>
          </w:tcPr>
          <w:p w14:paraId="731B2737">
            <w:pPr>
              <w:spacing w:line="360" w:lineRule="auto"/>
              <w:jc w:val="center"/>
              <w:rPr>
                <w:sz w:val="26"/>
                <w:szCs w:val="26"/>
              </w:rPr>
            </w:pPr>
            <w:r>
              <w:rPr>
                <w:sz w:val="26"/>
                <w:szCs w:val="26"/>
              </w:rPr>
              <w:t>4.</w:t>
            </w:r>
          </w:p>
        </w:tc>
        <w:tc>
          <w:tcPr>
            <w:tcW w:w="940" w:type="dxa"/>
            <w:vAlign w:val="center"/>
          </w:tcPr>
          <w:p w14:paraId="0739910D">
            <w:pPr>
              <w:spacing w:line="360" w:lineRule="auto"/>
              <w:jc w:val="center"/>
              <w:rPr>
                <w:sz w:val="26"/>
                <w:szCs w:val="26"/>
              </w:rPr>
            </w:pPr>
            <w:r>
              <w:rPr>
                <w:sz w:val="26"/>
                <w:szCs w:val="26"/>
              </w:rPr>
              <w:t>92,6</w:t>
            </w:r>
          </w:p>
        </w:tc>
        <w:tc>
          <w:tcPr>
            <w:tcW w:w="993" w:type="dxa"/>
            <w:vAlign w:val="center"/>
          </w:tcPr>
          <w:p w14:paraId="7EEBB8AC">
            <w:pPr>
              <w:spacing w:line="360" w:lineRule="auto"/>
              <w:jc w:val="center"/>
              <w:rPr>
                <w:sz w:val="26"/>
                <w:szCs w:val="26"/>
              </w:rPr>
            </w:pPr>
            <w:r>
              <w:rPr>
                <w:sz w:val="26"/>
                <w:szCs w:val="26"/>
              </w:rPr>
              <w:t>3,8</w:t>
            </w:r>
          </w:p>
        </w:tc>
        <w:tc>
          <w:tcPr>
            <w:tcW w:w="994" w:type="dxa"/>
            <w:vAlign w:val="center"/>
          </w:tcPr>
          <w:p w14:paraId="7519858D">
            <w:pPr>
              <w:spacing w:line="360" w:lineRule="auto"/>
              <w:jc w:val="center"/>
              <w:rPr>
                <w:sz w:val="26"/>
                <w:szCs w:val="26"/>
              </w:rPr>
            </w:pPr>
            <w:r>
              <w:rPr>
                <w:sz w:val="26"/>
                <w:szCs w:val="26"/>
              </w:rPr>
              <w:t>3,6</w:t>
            </w:r>
          </w:p>
        </w:tc>
        <w:tc>
          <w:tcPr>
            <w:tcW w:w="1843" w:type="dxa"/>
            <w:vAlign w:val="center"/>
          </w:tcPr>
          <w:p w14:paraId="5267F048">
            <w:pPr>
              <w:spacing w:line="360" w:lineRule="auto"/>
              <w:jc w:val="center"/>
              <w:rPr>
                <w:sz w:val="26"/>
                <w:szCs w:val="26"/>
              </w:rPr>
            </w:pPr>
            <w:r>
              <w:rPr>
                <w:sz w:val="26"/>
                <w:szCs w:val="26"/>
              </w:rPr>
              <w:t>285±23</w:t>
            </w:r>
          </w:p>
        </w:tc>
        <w:tc>
          <w:tcPr>
            <w:tcW w:w="1844" w:type="dxa"/>
            <w:vAlign w:val="center"/>
          </w:tcPr>
          <w:p w14:paraId="093052DD">
            <w:pPr>
              <w:spacing w:line="360" w:lineRule="auto"/>
              <w:jc w:val="center"/>
              <w:rPr>
                <w:sz w:val="26"/>
                <w:szCs w:val="26"/>
              </w:rPr>
            </w:pPr>
            <w:r>
              <w:rPr>
                <w:sz w:val="26"/>
                <w:szCs w:val="26"/>
              </w:rPr>
              <w:t>328±14</w:t>
            </w:r>
          </w:p>
        </w:tc>
        <w:tc>
          <w:tcPr>
            <w:tcW w:w="1848" w:type="dxa"/>
            <w:vAlign w:val="center"/>
          </w:tcPr>
          <w:p w14:paraId="27112E85">
            <w:pPr>
              <w:spacing w:line="360" w:lineRule="auto"/>
              <w:jc w:val="center"/>
              <w:rPr>
                <w:sz w:val="26"/>
                <w:szCs w:val="26"/>
              </w:rPr>
            </w:pPr>
            <w:r>
              <w:rPr>
                <w:sz w:val="26"/>
                <w:szCs w:val="26"/>
              </w:rPr>
              <w:t>478±10</w:t>
            </w:r>
          </w:p>
        </w:tc>
      </w:tr>
      <w:tr w14:paraId="09543D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4" w:hRule="atLeast"/>
          <w:jc w:val="center"/>
        </w:trPr>
        <w:tc>
          <w:tcPr>
            <w:tcW w:w="898" w:type="dxa"/>
            <w:vAlign w:val="center"/>
          </w:tcPr>
          <w:p w14:paraId="482A904C">
            <w:pPr>
              <w:spacing w:line="360" w:lineRule="auto"/>
              <w:jc w:val="center"/>
              <w:rPr>
                <w:sz w:val="26"/>
                <w:szCs w:val="26"/>
              </w:rPr>
            </w:pPr>
            <w:r>
              <w:rPr>
                <w:sz w:val="26"/>
                <w:szCs w:val="26"/>
              </w:rPr>
              <w:t>5.</w:t>
            </w:r>
          </w:p>
        </w:tc>
        <w:tc>
          <w:tcPr>
            <w:tcW w:w="940" w:type="dxa"/>
            <w:vAlign w:val="center"/>
          </w:tcPr>
          <w:p w14:paraId="2A9E6924">
            <w:pPr>
              <w:spacing w:line="360" w:lineRule="auto"/>
              <w:jc w:val="center"/>
              <w:rPr>
                <w:sz w:val="26"/>
                <w:szCs w:val="26"/>
              </w:rPr>
            </w:pPr>
            <w:r>
              <w:rPr>
                <w:sz w:val="26"/>
                <w:szCs w:val="26"/>
              </w:rPr>
              <w:t>89,1</w:t>
            </w:r>
          </w:p>
        </w:tc>
        <w:tc>
          <w:tcPr>
            <w:tcW w:w="993" w:type="dxa"/>
            <w:vAlign w:val="center"/>
          </w:tcPr>
          <w:p w14:paraId="760A9883">
            <w:pPr>
              <w:spacing w:line="360" w:lineRule="auto"/>
              <w:jc w:val="center"/>
              <w:rPr>
                <w:sz w:val="26"/>
                <w:szCs w:val="26"/>
              </w:rPr>
            </w:pPr>
            <w:r>
              <w:rPr>
                <w:sz w:val="26"/>
                <w:szCs w:val="26"/>
              </w:rPr>
              <w:t>2,2</w:t>
            </w:r>
          </w:p>
        </w:tc>
        <w:tc>
          <w:tcPr>
            <w:tcW w:w="994" w:type="dxa"/>
            <w:vAlign w:val="center"/>
          </w:tcPr>
          <w:p w14:paraId="766BAE34">
            <w:pPr>
              <w:spacing w:line="360" w:lineRule="auto"/>
              <w:jc w:val="center"/>
              <w:rPr>
                <w:sz w:val="26"/>
                <w:szCs w:val="26"/>
              </w:rPr>
            </w:pPr>
            <w:r>
              <w:rPr>
                <w:sz w:val="26"/>
                <w:szCs w:val="26"/>
              </w:rPr>
              <w:t>8,7</w:t>
            </w:r>
          </w:p>
        </w:tc>
        <w:tc>
          <w:tcPr>
            <w:tcW w:w="1843" w:type="dxa"/>
            <w:vAlign w:val="center"/>
          </w:tcPr>
          <w:p w14:paraId="47EECCE1">
            <w:pPr>
              <w:spacing w:line="360" w:lineRule="auto"/>
              <w:jc w:val="center"/>
              <w:rPr>
                <w:sz w:val="26"/>
                <w:szCs w:val="26"/>
              </w:rPr>
            </w:pPr>
            <w:r>
              <w:rPr>
                <w:sz w:val="26"/>
                <w:szCs w:val="26"/>
              </w:rPr>
              <w:t>300±14</w:t>
            </w:r>
          </w:p>
        </w:tc>
        <w:tc>
          <w:tcPr>
            <w:tcW w:w="1844" w:type="dxa"/>
            <w:vAlign w:val="center"/>
          </w:tcPr>
          <w:p w14:paraId="3EFDBA81">
            <w:pPr>
              <w:spacing w:line="360" w:lineRule="auto"/>
              <w:jc w:val="center"/>
              <w:rPr>
                <w:sz w:val="26"/>
                <w:szCs w:val="26"/>
              </w:rPr>
            </w:pPr>
            <w:r>
              <w:rPr>
                <w:sz w:val="26"/>
                <w:szCs w:val="26"/>
              </w:rPr>
              <w:t>296±9</w:t>
            </w:r>
          </w:p>
        </w:tc>
        <w:tc>
          <w:tcPr>
            <w:tcW w:w="1848" w:type="dxa"/>
            <w:vAlign w:val="center"/>
          </w:tcPr>
          <w:p w14:paraId="2B01902A">
            <w:pPr>
              <w:spacing w:line="360" w:lineRule="auto"/>
              <w:jc w:val="center"/>
              <w:rPr>
                <w:sz w:val="26"/>
                <w:szCs w:val="26"/>
              </w:rPr>
            </w:pPr>
            <w:r>
              <w:rPr>
                <w:sz w:val="26"/>
                <w:szCs w:val="26"/>
              </w:rPr>
              <w:t>386±16</w:t>
            </w:r>
          </w:p>
        </w:tc>
      </w:tr>
      <w:tr w14:paraId="7C3FBC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jc w:val="center"/>
        </w:trPr>
        <w:tc>
          <w:tcPr>
            <w:tcW w:w="898" w:type="dxa"/>
            <w:vAlign w:val="center"/>
          </w:tcPr>
          <w:p w14:paraId="51D37607">
            <w:pPr>
              <w:spacing w:line="360" w:lineRule="auto"/>
              <w:jc w:val="center"/>
              <w:rPr>
                <w:sz w:val="26"/>
                <w:szCs w:val="26"/>
              </w:rPr>
            </w:pPr>
            <w:r>
              <w:rPr>
                <w:sz w:val="26"/>
                <w:szCs w:val="26"/>
              </w:rPr>
              <w:t>6.</w:t>
            </w:r>
          </w:p>
        </w:tc>
        <w:tc>
          <w:tcPr>
            <w:tcW w:w="940" w:type="dxa"/>
            <w:vAlign w:val="center"/>
          </w:tcPr>
          <w:p w14:paraId="64ED1EFF">
            <w:pPr>
              <w:spacing w:line="360" w:lineRule="auto"/>
              <w:jc w:val="center"/>
              <w:rPr>
                <w:sz w:val="26"/>
                <w:szCs w:val="26"/>
              </w:rPr>
            </w:pPr>
            <w:r>
              <w:rPr>
                <w:sz w:val="26"/>
                <w:szCs w:val="26"/>
              </w:rPr>
              <w:t>87,2</w:t>
            </w:r>
          </w:p>
        </w:tc>
        <w:tc>
          <w:tcPr>
            <w:tcW w:w="993" w:type="dxa"/>
            <w:vAlign w:val="center"/>
          </w:tcPr>
          <w:p w14:paraId="13367EE2">
            <w:pPr>
              <w:spacing w:line="360" w:lineRule="auto"/>
              <w:jc w:val="center"/>
              <w:rPr>
                <w:sz w:val="26"/>
                <w:szCs w:val="26"/>
              </w:rPr>
            </w:pPr>
            <w:r>
              <w:rPr>
                <w:sz w:val="26"/>
                <w:szCs w:val="26"/>
              </w:rPr>
              <w:t>4,1</w:t>
            </w:r>
          </w:p>
        </w:tc>
        <w:tc>
          <w:tcPr>
            <w:tcW w:w="994" w:type="dxa"/>
            <w:vAlign w:val="center"/>
          </w:tcPr>
          <w:p w14:paraId="52E74189">
            <w:pPr>
              <w:spacing w:line="360" w:lineRule="auto"/>
              <w:jc w:val="center"/>
              <w:rPr>
                <w:sz w:val="26"/>
                <w:szCs w:val="26"/>
              </w:rPr>
            </w:pPr>
            <w:r>
              <w:rPr>
                <w:sz w:val="26"/>
                <w:szCs w:val="26"/>
              </w:rPr>
              <w:t>8,7</w:t>
            </w:r>
          </w:p>
        </w:tc>
        <w:tc>
          <w:tcPr>
            <w:tcW w:w="1843" w:type="dxa"/>
            <w:vAlign w:val="center"/>
          </w:tcPr>
          <w:p w14:paraId="69C1DE85">
            <w:pPr>
              <w:spacing w:line="360" w:lineRule="auto"/>
              <w:jc w:val="center"/>
              <w:rPr>
                <w:sz w:val="26"/>
                <w:szCs w:val="26"/>
              </w:rPr>
            </w:pPr>
            <w:r>
              <w:rPr>
                <w:sz w:val="26"/>
                <w:szCs w:val="26"/>
              </w:rPr>
              <w:t>508±11</w:t>
            </w:r>
          </w:p>
        </w:tc>
        <w:tc>
          <w:tcPr>
            <w:tcW w:w="1844" w:type="dxa"/>
            <w:vAlign w:val="center"/>
          </w:tcPr>
          <w:p w14:paraId="1B73C167">
            <w:pPr>
              <w:spacing w:line="360" w:lineRule="auto"/>
              <w:jc w:val="center"/>
              <w:rPr>
                <w:sz w:val="26"/>
                <w:szCs w:val="26"/>
              </w:rPr>
            </w:pPr>
            <w:r>
              <w:rPr>
                <w:sz w:val="26"/>
                <w:szCs w:val="26"/>
              </w:rPr>
              <w:t>390±10</w:t>
            </w:r>
          </w:p>
        </w:tc>
        <w:tc>
          <w:tcPr>
            <w:tcW w:w="1848" w:type="dxa"/>
            <w:vAlign w:val="center"/>
          </w:tcPr>
          <w:p w14:paraId="45836D0F">
            <w:pPr>
              <w:spacing w:line="360" w:lineRule="auto"/>
              <w:jc w:val="center"/>
              <w:rPr>
                <w:sz w:val="26"/>
                <w:szCs w:val="26"/>
              </w:rPr>
            </w:pPr>
            <w:r>
              <w:rPr>
                <w:sz w:val="26"/>
                <w:szCs w:val="26"/>
              </w:rPr>
              <w:t>554±12</w:t>
            </w:r>
          </w:p>
        </w:tc>
      </w:tr>
    </w:tbl>
    <w:p w14:paraId="04A853FE">
      <w:pPr>
        <w:jc w:val="both"/>
        <w:rPr>
          <w:rStyle w:val="8"/>
          <w:b w:val="0"/>
          <w:bCs w:val="0"/>
          <w:i/>
          <w:sz w:val="28"/>
          <w:szCs w:val="28"/>
        </w:rPr>
      </w:pPr>
    </w:p>
    <w:p w14:paraId="26AA25DF">
      <w:pPr>
        <w:spacing w:line="360" w:lineRule="auto"/>
        <w:ind w:firstLine="709"/>
        <w:jc w:val="both"/>
        <w:rPr>
          <w:rStyle w:val="8"/>
          <w:b w:val="0"/>
          <w:bCs w:val="0"/>
          <w:sz w:val="28"/>
          <w:szCs w:val="28"/>
        </w:rPr>
      </w:pPr>
      <w:r>
        <w:rPr>
          <w:rStyle w:val="8"/>
          <w:b w:val="0"/>
          <w:bCs w:val="0"/>
          <w:sz w:val="28"/>
          <w:szCs w:val="28"/>
        </w:rPr>
        <w:t>В качестве подложки для синтеза методом электроосаждения икель – хромовых слоев был выбран сплав №4, потому что (таблица 3) при минимальном содержании рения, этот сплав имеет максимальную твердость. Ниже приведена микрофотография нашей подложки, из которой мы видим однородную поверхность выбранного сплава.</w:t>
      </w:r>
    </w:p>
    <w:p w14:paraId="38FAC648">
      <w:pPr>
        <w:jc w:val="both"/>
        <w:rPr>
          <w:rStyle w:val="8"/>
          <w:b w:val="0"/>
          <w:bCs w:val="0"/>
          <w:i/>
          <w:sz w:val="28"/>
          <w:szCs w:val="28"/>
        </w:rPr>
      </w:pPr>
    </w:p>
    <w:p w14:paraId="4696274A">
      <w:pPr>
        <w:jc w:val="center"/>
        <w:rPr>
          <w:rStyle w:val="8"/>
          <w:b w:val="0"/>
          <w:bCs w:val="0"/>
          <w:i/>
          <w:sz w:val="28"/>
          <w:szCs w:val="28"/>
        </w:rPr>
      </w:pPr>
      <w:r>
        <w:rPr>
          <w:i/>
          <w:sz w:val="28"/>
          <w:szCs w:val="28"/>
        </w:rPr>
        <w:drawing>
          <wp:inline distT="0" distB="0" distL="0" distR="0">
            <wp:extent cx="2651125" cy="204025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648931" cy="2038639"/>
                    </a:xfrm>
                    <a:prstGeom prst="rect">
                      <a:avLst/>
                    </a:prstGeom>
                  </pic:spPr>
                </pic:pic>
              </a:graphicData>
            </a:graphic>
          </wp:inline>
        </w:drawing>
      </w:r>
    </w:p>
    <w:p w14:paraId="1DB24A35">
      <w:pPr>
        <w:jc w:val="center"/>
        <w:rPr>
          <w:rStyle w:val="8"/>
          <w:b w:val="0"/>
          <w:bCs w:val="0"/>
          <w:i/>
          <w:sz w:val="28"/>
          <w:szCs w:val="28"/>
        </w:rPr>
      </w:pPr>
      <w:r>
        <w:rPr>
          <w:rStyle w:val="8"/>
          <w:b w:val="0"/>
          <w:bCs w:val="0"/>
          <w:i/>
          <w:sz w:val="28"/>
          <w:szCs w:val="28"/>
        </w:rPr>
        <w:t xml:space="preserve">Рисунок 6. </w:t>
      </w:r>
      <w:r>
        <w:rPr>
          <w:rStyle w:val="8"/>
          <w:b w:val="0"/>
          <w:bCs w:val="0"/>
          <w:sz w:val="28"/>
          <w:szCs w:val="28"/>
        </w:rPr>
        <w:t xml:space="preserve">Микрофотография образца сплава системы </w:t>
      </w:r>
      <w:r>
        <w:rPr>
          <w:rStyle w:val="8"/>
          <w:b w:val="0"/>
          <w:bCs w:val="0"/>
          <w:sz w:val="28"/>
          <w:szCs w:val="28"/>
          <w:lang w:val="en-US"/>
        </w:rPr>
        <w:t>Co</w:t>
      </w:r>
      <w:r>
        <w:rPr>
          <w:rStyle w:val="8"/>
          <w:b w:val="0"/>
          <w:bCs w:val="0"/>
          <w:sz w:val="28"/>
          <w:szCs w:val="28"/>
        </w:rPr>
        <w:t xml:space="preserve"> – </w:t>
      </w:r>
      <w:r>
        <w:rPr>
          <w:rStyle w:val="8"/>
          <w:b w:val="0"/>
          <w:bCs w:val="0"/>
          <w:sz w:val="28"/>
          <w:szCs w:val="28"/>
          <w:lang w:val="en-US"/>
        </w:rPr>
        <w:t>Nb</w:t>
      </w:r>
      <w:r>
        <w:rPr>
          <w:rStyle w:val="8"/>
          <w:b w:val="0"/>
          <w:bCs w:val="0"/>
          <w:sz w:val="28"/>
          <w:szCs w:val="28"/>
        </w:rPr>
        <w:t xml:space="preserve"> – </w:t>
      </w:r>
      <w:r>
        <w:rPr>
          <w:rStyle w:val="8"/>
          <w:b w:val="0"/>
          <w:bCs w:val="0"/>
          <w:sz w:val="28"/>
          <w:szCs w:val="28"/>
          <w:lang w:val="en-US"/>
        </w:rPr>
        <w:t>Re</w:t>
      </w:r>
      <w:r>
        <w:rPr>
          <w:rStyle w:val="8"/>
          <w:b w:val="0"/>
          <w:bCs w:val="0"/>
          <w:sz w:val="28"/>
          <w:szCs w:val="28"/>
        </w:rPr>
        <w:t>.</w:t>
      </w:r>
    </w:p>
    <w:p w14:paraId="47525284">
      <w:pPr>
        <w:spacing w:before="120"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Чтобы подобрать нужные значение тока, а также время электрохимического осаждения, первоначально никель и хром осаждали на предварительно очищенные медные пластинки. Только после успешного осаждения каждого из металлов из растворов, был проведен послойный синтез никель – хрома на предоставленный сплав системы </w:t>
      </w:r>
      <w:r>
        <w:rPr>
          <w:rStyle w:val="8"/>
          <w:b w:val="0"/>
          <w:bCs w:val="0"/>
          <w:sz w:val="28"/>
          <w:szCs w:val="28"/>
          <w:lang w:val="en-US"/>
        </w:rPr>
        <w:t>Co</w:t>
      </w:r>
      <w:r>
        <w:rPr>
          <w:rStyle w:val="8"/>
          <w:b w:val="0"/>
          <w:bCs w:val="0"/>
          <w:sz w:val="28"/>
          <w:szCs w:val="28"/>
        </w:rPr>
        <w:t xml:space="preserve"> – </w:t>
      </w:r>
      <w:r>
        <w:rPr>
          <w:rStyle w:val="8"/>
          <w:b w:val="0"/>
          <w:bCs w:val="0"/>
          <w:sz w:val="28"/>
          <w:szCs w:val="28"/>
          <w:lang w:val="en-US"/>
        </w:rPr>
        <w:t>Nb</w:t>
      </w:r>
      <w:r>
        <w:rPr>
          <w:rStyle w:val="8"/>
          <w:b w:val="0"/>
          <w:bCs w:val="0"/>
          <w:sz w:val="28"/>
          <w:szCs w:val="28"/>
        </w:rPr>
        <w:t xml:space="preserve"> – </w:t>
      </w:r>
      <w:r>
        <w:rPr>
          <w:rStyle w:val="8"/>
          <w:b w:val="0"/>
          <w:bCs w:val="0"/>
          <w:sz w:val="28"/>
          <w:szCs w:val="28"/>
          <w:lang w:val="en-US"/>
        </w:rPr>
        <w:t>Re</w:t>
      </w:r>
      <w:r>
        <w:rPr>
          <w:color w:val="000000" w:themeColor="text1"/>
          <w:sz w:val="28"/>
          <w:szCs w:val="28"/>
          <w14:textFill>
            <w14:solidFill>
              <w14:schemeClr w14:val="tx1"/>
            </w14:solidFill>
          </w14:textFill>
        </w:rPr>
        <w:t xml:space="preserve"> (о том, как был изготовлен данный сплав, см. раздел 3.3)</w:t>
      </w:r>
    </w:p>
    <w:p w14:paraId="145A5723">
      <w:pPr>
        <w:spacing w:before="120" w:line="360" w:lineRule="auto"/>
        <w:ind w:firstLine="709"/>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Кобальт – рений – ниобиевый сплав может выступать в качестве основы жаропрочных сплавов. Но кобальтовые сплавы имеют более низкую устойчивость к высокотемпературному окислению, чем никелевые. Введение хрома в состав сплава понижает растворимость ниобия и, тем самым, препятствует формированию нановыделяющей упрочняющей фазы </w:t>
      </w:r>
      <w:r>
        <w:rPr>
          <w:color w:val="000000" w:themeColor="text1"/>
          <w:sz w:val="28"/>
          <w:szCs w:val="28"/>
          <w:lang w:val="en-US"/>
          <w14:textFill>
            <w14:solidFill>
              <w14:schemeClr w14:val="tx1"/>
            </w14:solidFill>
          </w14:textFill>
        </w:rPr>
        <w:t>Co</w:t>
      </w:r>
      <w:r>
        <w:rPr>
          <w:color w:val="000000" w:themeColor="text1"/>
          <w:sz w:val="28"/>
          <w:szCs w:val="28"/>
          <w:vertAlign w:val="subscript"/>
          <w14:textFill>
            <w14:solidFill>
              <w14:schemeClr w14:val="tx1"/>
            </w14:solidFill>
          </w14:textFill>
        </w:rPr>
        <w:t>3</w:t>
      </w:r>
      <w:r>
        <w:rPr>
          <w:color w:val="000000" w:themeColor="text1"/>
          <w:sz w:val="28"/>
          <w:szCs w:val="28"/>
          <w:lang w:val="en-US"/>
          <w14:textFill>
            <w14:solidFill>
              <w14:schemeClr w14:val="tx1"/>
            </w14:solidFill>
          </w14:textFill>
        </w:rPr>
        <w:t>Nb</w:t>
      </w:r>
      <w:r>
        <w:rPr>
          <w:color w:val="000000" w:themeColor="text1"/>
          <w:sz w:val="28"/>
          <w:szCs w:val="28"/>
          <w14:textFill>
            <w14:solidFill>
              <w14:schemeClr w14:val="tx1"/>
            </w14:solidFill>
          </w14:textFill>
        </w:rPr>
        <w:t>. Поэтому оптимальным является вариант поверхностного легирования таких сплавов хромом электрохимическим методом. Поскольку кобальт образует с хромом хрупкую сигма-фазу, предварительное покрытие поверхности сплава никелем перед нанесением хрома должно решить эту проблему.</w:t>
      </w:r>
    </w:p>
    <w:p w14:paraId="560DB6AF">
      <w:pPr>
        <w:spacing w:line="360" w:lineRule="auto"/>
        <w:jc w:val="both"/>
        <w:rPr>
          <w:color w:val="000000" w:themeColor="text1"/>
          <w:sz w:val="28"/>
          <w14:textFill>
            <w14:solidFill>
              <w14:schemeClr w14:val="tx1"/>
            </w14:solidFill>
          </w14:textFill>
        </w:rPr>
      </w:pPr>
      <w:r>
        <w:rPr>
          <w:color w:val="000000" w:themeColor="text1"/>
          <w:sz w:val="28"/>
          <w:szCs w:val="28"/>
          <w14:textFill>
            <w14:solidFill>
              <w14:schemeClr w14:val="tx1"/>
            </w14:solidFill>
          </w14:textFill>
        </w:rPr>
        <w:t>Электрохимическое осаждение проводилось при постоянном токе.</w:t>
      </w:r>
      <w:r>
        <w:rPr>
          <w:sz w:val="28"/>
        </w:rPr>
        <w:t xml:space="preserve"> Реакции осаждения металлов протекают </w:t>
      </w:r>
      <w:r>
        <w:rPr>
          <w:color w:val="000000" w:themeColor="text1"/>
          <w:sz w:val="28"/>
          <w14:textFill>
            <w14:solidFill>
              <w14:schemeClr w14:val="tx1"/>
            </w14:solidFill>
          </w14:textFill>
        </w:rPr>
        <w:t>на границе продукт – реакционная среда:</w:t>
      </w:r>
    </w:p>
    <w:p w14:paraId="5BBBB7F2">
      <w:pPr>
        <w:spacing w:line="360" w:lineRule="auto"/>
        <w:jc w:val="center"/>
        <w:rPr>
          <w:color w:val="000000" w:themeColor="text1"/>
          <w:sz w:val="28"/>
          <w:lang w:val="en-US"/>
          <w14:textFill>
            <w14:solidFill>
              <w14:schemeClr w14:val="tx1"/>
            </w14:solidFill>
          </w14:textFill>
        </w:rPr>
      </w:pPr>
      <w:r>
        <w:rPr>
          <w:color w:val="000000" w:themeColor="text1"/>
          <w:sz w:val="28"/>
          <w:lang w:val="en-US"/>
          <w14:textFill>
            <w14:solidFill>
              <w14:schemeClr w14:val="tx1"/>
            </w14:solidFill>
          </w14:textFill>
        </w:rPr>
        <w:t>Ni</w:t>
      </w:r>
      <w:r>
        <w:rPr>
          <w:color w:val="000000" w:themeColor="text1"/>
          <w:sz w:val="28"/>
          <w:vertAlign w:val="superscript"/>
          <w:lang w:val="en-US"/>
          <w14:textFill>
            <w14:solidFill>
              <w14:schemeClr w14:val="tx1"/>
            </w14:solidFill>
          </w14:textFill>
        </w:rPr>
        <w:t>+2</w:t>
      </w:r>
      <w:r>
        <w:rPr>
          <w:color w:val="000000" w:themeColor="text1"/>
          <w:sz w:val="28"/>
          <w:lang w:val="en-US"/>
          <w14:textFill>
            <w14:solidFill>
              <w14:schemeClr w14:val="tx1"/>
            </w14:solidFill>
          </w14:textFill>
        </w:rPr>
        <w:t xml:space="preserve"> + 2e = Ni</w:t>
      </w:r>
      <w:r>
        <w:rPr>
          <w:color w:val="000000" w:themeColor="text1"/>
          <w:sz w:val="28"/>
          <w:vertAlign w:val="superscript"/>
          <w:lang w:val="en-US"/>
          <w14:textFill>
            <w14:solidFill>
              <w14:schemeClr w14:val="tx1"/>
            </w14:solidFill>
          </w14:textFill>
        </w:rPr>
        <w:t>0</w:t>
      </w:r>
    </w:p>
    <w:p w14:paraId="5A919281">
      <w:pPr>
        <w:spacing w:line="360" w:lineRule="auto"/>
        <w:jc w:val="center"/>
        <w:rPr>
          <w:color w:val="000000" w:themeColor="text1"/>
          <w:sz w:val="28"/>
          <w:lang w:val="en-US"/>
          <w14:textFill>
            <w14:solidFill>
              <w14:schemeClr w14:val="tx1"/>
            </w14:solidFill>
          </w14:textFill>
        </w:rPr>
      </w:pPr>
      <w:r>
        <w:rPr>
          <w:color w:val="000000" w:themeColor="text1"/>
          <w:sz w:val="28"/>
          <w:lang w:val="en-US"/>
          <w14:textFill>
            <w14:solidFill>
              <w14:schemeClr w14:val="tx1"/>
            </w14:solidFill>
          </w14:textFill>
        </w:rPr>
        <w:t>Cr</w:t>
      </w:r>
      <w:r>
        <w:rPr>
          <w:color w:val="000000" w:themeColor="text1"/>
          <w:sz w:val="28"/>
          <w:vertAlign w:val="superscript"/>
          <w:lang w:val="en-US"/>
          <w14:textFill>
            <w14:solidFill>
              <w14:schemeClr w14:val="tx1"/>
            </w14:solidFill>
          </w14:textFill>
        </w:rPr>
        <w:t>+3</w:t>
      </w:r>
      <w:r>
        <w:rPr>
          <w:color w:val="000000" w:themeColor="text1"/>
          <w:sz w:val="28"/>
          <w:lang w:val="en-US"/>
          <w14:textFill>
            <w14:solidFill>
              <w14:schemeClr w14:val="tx1"/>
            </w14:solidFill>
          </w14:textFill>
        </w:rPr>
        <w:t xml:space="preserve"> + 3e = Cr</w:t>
      </w:r>
      <w:r>
        <w:rPr>
          <w:color w:val="000000" w:themeColor="text1"/>
          <w:sz w:val="28"/>
          <w:vertAlign w:val="superscript"/>
          <w:lang w:val="en-US"/>
          <w14:textFill>
            <w14:solidFill>
              <w14:schemeClr w14:val="tx1"/>
            </w14:solidFill>
          </w14:textFill>
        </w:rPr>
        <w:t>0</w:t>
      </w:r>
    </w:p>
    <w:p w14:paraId="632EFFB1">
      <w:pPr>
        <w:spacing w:before="120" w:line="360" w:lineRule="auto"/>
        <w:ind w:firstLine="709"/>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В ходе проведения экспериментальной части основной проблемой стал подбор нужных значений плотности тока. Был проведен ряд осаждений при разных значениях, чтобы в дальнейшем оценить, при каком именно значении следует проводить процесс электрохимическое осаждение. </w:t>
      </w:r>
    </w:p>
    <w:p w14:paraId="0D558DD8">
      <w:pPr>
        <w:spacing w:before="120" w:line="360" w:lineRule="auto"/>
        <w:ind w:firstLine="709"/>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Кроме того, перед тем как получить конечный раствор, из которого впоследствии был осаждён хром, были приготовлены два других раствора, состав данных растворов:</w:t>
      </w:r>
    </w:p>
    <w:p w14:paraId="2613F3A4">
      <w:pPr>
        <w:pStyle w:val="10"/>
        <w:keepNext/>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Таблица 4. Первый вариант рабочего раствора для осаждения из него хрома.</w:t>
      </w:r>
    </w:p>
    <w:tbl>
      <w:tblPr>
        <w:tblStyle w:val="22"/>
        <w:tblW w:w="0" w:type="auto"/>
        <w:tblInd w:w="12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40"/>
        <w:gridCol w:w="4140"/>
      </w:tblGrid>
      <w:tr w14:paraId="5E9FE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3940" w:type="dxa"/>
          </w:tcPr>
          <w:p w14:paraId="791E09A1">
            <w:pPr>
              <w:spacing w:line="360" w:lineRule="auto"/>
              <w:jc w:val="center"/>
              <w:rPr>
                <w:b/>
                <w:sz w:val="28"/>
              </w:rPr>
            </w:pPr>
            <w:r>
              <w:rPr>
                <w:b/>
                <w:sz w:val="28"/>
              </w:rPr>
              <w:t>Компонент</w:t>
            </w:r>
          </w:p>
        </w:tc>
        <w:tc>
          <w:tcPr>
            <w:tcW w:w="4140" w:type="dxa"/>
          </w:tcPr>
          <w:p w14:paraId="675E8E2D">
            <w:pPr>
              <w:spacing w:line="360" w:lineRule="auto"/>
              <w:jc w:val="center"/>
              <w:rPr>
                <w:b/>
                <w:sz w:val="28"/>
              </w:rPr>
            </w:pPr>
            <w:r>
              <w:rPr>
                <w:b/>
                <w:sz w:val="28"/>
              </w:rPr>
              <w:t>Содержание, М</w:t>
            </w:r>
          </w:p>
        </w:tc>
      </w:tr>
      <w:tr w14:paraId="5136B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3940" w:type="dxa"/>
          </w:tcPr>
          <w:p w14:paraId="089D3B42">
            <w:pPr>
              <w:spacing w:line="360" w:lineRule="auto"/>
              <w:jc w:val="center"/>
              <w:rPr>
                <w:sz w:val="28"/>
                <w:szCs w:val="28"/>
              </w:rPr>
            </w:pPr>
            <w:r>
              <w:rPr>
                <w:color w:val="000000"/>
                <w:sz w:val="28"/>
                <w:szCs w:val="28"/>
              </w:rPr>
              <w:t>KCr(SO</w:t>
            </w:r>
            <w:r>
              <w:rPr>
                <w:color w:val="000000"/>
                <w:sz w:val="28"/>
                <w:szCs w:val="28"/>
                <w:vertAlign w:val="subscript"/>
              </w:rPr>
              <w:t>4</w:t>
            </w:r>
            <w:r>
              <w:rPr>
                <w:color w:val="000000"/>
                <w:sz w:val="28"/>
                <w:szCs w:val="28"/>
              </w:rPr>
              <w:t>)</w:t>
            </w:r>
            <w:r>
              <w:rPr>
                <w:color w:val="000000"/>
                <w:sz w:val="28"/>
                <w:szCs w:val="28"/>
                <w:vertAlign w:val="subscript"/>
              </w:rPr>
              <w:t>2</w:t>
            </w:r>
            <w:r>
              <w:rPr>
                <w:color w:val="000000"/>
                <w:sz w:val="28"/>
                <w:szCs w:val="28"/>
              </w:rPr>
              <w:t>∙12H</w:t>
            </w:r>
            <w:r>
              <w:rPr>
                <w:color w:val="000000"/>
                <w:sz w:val="28"/>
                <w:szCs w:val="28"/>
                <w:vertAlign w:val="subscript"/>
              </w:rPr>
              <w:t>2</w:t>
            </w:r>
            <w:r>
              <w:rPr>
                <w:color w:val="000000"/>
                <w:sz w:val="28"/>
                <w:szCs w:val="28"/>
              </w:rPr>
              <w:t>O</w:t>
            </w:r>
          </w:p>
        </w:tc>
        <w:tc>
          <w:tcPr>
            <w:tcW w:w="4140" w:type="dxa"/>
          </w:tcPr>
          <w:p w14:paraId="5F836D41">
            <w:pPr>
              <w:spacing w:line="360" w:lineRule="auto"/>
              <w:jc w:val="center"/>
              <w:rPr>
                <w:sz w:val="28"/>
                <w:szCs w:val="28"/>
              </w:rPr>
            </w:pPr>
            <w:r>
              <w:rPr>
                <w:color w:val="000000"/>
                <w:sz w:val="28"/>
                <w:szCs w:val="28"/>
              </w:rPr>
              <w:t>0,5</w:t>
            </w:r>
          </w:p>
        </w:tc>
      </w:tr>
      <w:tr w14:paraId="1D1AB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940" w:type="dxa"/>
            <w:noWrap/>
          </w:tcPr>
          <w:p w14:paraId="59701C31">
            <w:pPr>
              <w:spacing w:line="360" w:lineRule="auto"/>
              <w:jc w:val="center"/>
              <w:rPr>
                <w:color w:val="000000"/>
                <w:sz w:val="28"/>
                <w:szCs w:val="28"/>
              </w:rPr>
            </w:pPr>
            <w:r>
              <w:rPr>
                <w:color w:val="000000"/>
                <w:sz w:val="28"/>
                <w:szCs w:val="28"/>
              </w:rPr>
              <w:t>Al</w:t>
            </w:r>
            <w:r>
              <w:rPr>
                <w:color w:val="000000"/>
                <w:sz w:val="28"/>
                <w:szCs w:val="28"/>
                <w:vertAlign w:val="subscript"/>
              </w:rPr>
              <w:t>2</w:t>
            </w:r>
            <w:r>
              <w:rPr>
                <w:color w:val="000000"/>
                <w:sz w:val="28"/>
                <w:szCs w:val="28"/>
              </w:rPr>
              <w:t>(SO</w:t>
            </w:r>
            <w:r>
              <w:rPr>
                <w:color w:val="000000"/>
                <w:sz w:val="28"/>
                <w:szCs w:val="28"/>
                <w:vertAlign w:val="subscript"/>
              </w:rPr>
              <w:t>4</w:t>
            </w:r>
            <w:r>
              <w:rPr>
                <w:color w:val="000000"/>
                <w:sz w:val="28"/>
                <w:szCs w:val="28"/>
              </w:rPr>
              <w:t>)</w:t>
            </w:r>
            <w:r>
              <w:rPr>
                <w:color w:val="000000"/>
                <w:sz w:val="28"/>
                <w:szCs w:val="28"/>
                <w:vertAlign w:val="subscript"/>
              </w:rPr>
              <w:t>3</w:t>
            </w:r>
            <w:r>
              <w:rPr>
                <w:color w:val="000000"/>
                <w:sz w:val="28"/>
                <w:szCs w:val="28"/>
              </w:rPr>
              <w:t>∙18H</w:t>
            </w:r>
            <w:r>
              <w:rPr>
                <w:color w:val="000000"/>
                <w:sz w:val="28"/>
                <w:szCs w:val="28"/>
                <w:vertAlign w:val="subscript"/>
              </w:rPr>
              <w:t>2</w:t>
            </w:r>
            <w:r>
              <w:rPr>
                <w:color w:val="000000"/>
                <w:sz w:val="28"/>
                <w:szCs w:val="28"/>
              </w:rPr>
              <w:t>O</w:t>
            </w:r>
          </w:p>
        </w:tc>
        <w:tc>
          <w:tcPr>
            <w:tcW w:w="4140" w:type="dxa"/>
            <w:noWrap/>
          </w:tcPr>
          <w:p w14:paraId="1967F43E">
            <w:pPr>
              <w:spacing w:line="360" w:lineRule="auto"/>
              <w:jc w:val="center"/>
              <w:rPr>
                <w:color w:val="000000"/>
                <w:sz w:val="28"/>
                <w:szCs w:val="28"/>
              </w:rPr>
            </w:pPr>
            <w:r>
              <w:rPr>
                <w:color w:val="000000"/>
                <w:sz w:val="28"/>
                <w:szCs w:val="28"/>
              </w:rPr>
              <w:t>0,2</w:t>
            </w:r>
          </w:p>
        </w:tc>
      </w:tr>
      <w:tr w14:paraId="042FB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940" w:type="dxa"/>
            <w:noWrap/>
          </w:tcPr>
          <w:p w14:paraId="589B6C65">
            <w:pPr>
              <w:spacing w:line="360" w:lineRule="auto"/>
              <w:jc w:val="center"/>
              <w:rPr>
                <w:color w:val="000000"/>
                <w:sz w:val="28"/>
                <w:szCs w:val="28"/>
              </w:rPr>
            </w:pPr>
            <w:r>
              <w:rPr>
                <w:color w:val="000000"/>
                <w:sz w:val="28"/>
                <w:szCs w:val="28"/>
              </w:rPr>
              <w:t>Na</w:t>
            </w:r>
            <w:r>
              <w:rPr>
                <w:color w:val="000000"/>
                <w:sz w:val="28"/>
                <w:szCs w:val="28"/>
                <w:vertAlign w:val="subscript"/>
              </w:rPr>
              <w:t>2</w:t>
            </w:r>
            <w:r>
              <w:rPr>
                <w:color w:val="000000"/>
                <w:sz w:val="28"/>
                <w:szCs w:val="28"/>
              </w:rPr>
              <w:t>C</w:t>
            </w:r>
            <w:r>
              <w:rPr>
                <w:color w:val="000000"/>
                <w:sz w:val="28"/>
                <w:szCs w:val="28"/>
                <w:vertAlign w:val="subscript"/>
              </w:rPr>
              <w:t>2</w:t>
            </w:r>
            <w:r>
              <w:rPr>
                <w:color w:val="000000"/>
                <w:sz w:val="28"/>
                <w:szCs w:val="28"/>
              </w:rPr>
              <w:t>O</w:t>
            </w:r>
            <w:r>
              <w:rPr>
                <w:color w:val="000000"/>
                <w:sz w:val="28"/>
                <w:szCs w:val="28"/>
                <w:vertAlign w:val="subscript"/>
              </w:rPr>
              <w:t>4</w:t>
            </w:r>
          </w:p>
        </w:tc>
        <w:tc>
          <w:tcPr>
            <w:tcW w:w="4140" w:type="dxa"/>
            <w:noWrap/>
          </w:tcPr>
          <w:p w14:paraId="6B8FAD84">
            <w:pPr>
              <w:spacing w:line="360" w:lineRule="auto"/>
              <w:jc w:val="center"/>
              <w:rPr>
                <w:color w:val="000000"/>
                <w:sz w:val="28"/>
                <w:szCs w:val="28"/>
              </w:rPr>
            </w:pPr>
            <w:r>
              <w:rPr>
                <w:color w:val="000000"/>
                <w:sz w:val="28"/>
                <w:szCs w:val="28"/>
              </w:rPr>
              <w:t>0,3</w:t>
            </w:r>
          </w:p>
        </w:tc>
      </w:tr>
      <w:tr w14:paraId="015E7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940" w:type="dxa"/>
            <w:noWrap/>
          </w:tcPr>
          <w:p w14:paraId="6AC88208">
            <w:pPr>
              <w:spacing w:line="360" w:lineRule="auto"/>
              <w:jc w:val="center"/>
              <w:rPr>
                <w:color w:val="000000"/>
                <w:sz w:val="28"/>
                <w:szCs w:val="28"/>
              </w:rPr>
            </w:pPr>
            <w:r>
              <w:rPr>
                <w:color w:val="000000"/>
                <w:sz w:val="28"/>
                <w:szCs w:val="28"/>
              </w:rPr>
              <w:t>NaF</w:t>
            </w:r>
          </w:p>
        </w:tc>
        <w:tc>
          <w:tcPr>
            <w:tcW w:w="4140" w:type="dxa"/>
            <w:noWrap/>
          </w:tcPr>
          <w:p w14:paraId="7101C774">
            <w:pPr>
              <w:keepNext/>
              <w:spacing w:line="360" w:lineRule="auto"/>
              <w:jc w:val="center"/>
              <w:rPr>
                <w:color w:val="000000"/>
                <w:sz w:val="28"/>
                <w:szCs w:val="28"/>
              </w:rPr>
            </w:pPr>
            <w:r>
              <w:rPr>
                <w:color w:val="000000"/>
                <w:sz w:val="28"/>
                <w:szCs w:val="28"/>
              </w:rPr>
              <w:t>0,4</w:t>
            </w:r>
          </w:p>
        </w:tc>
      </w:tr>
    </w:tbl>
    <w:p w14:paraId="5AEEB58F">
      <w:pPr>
        <w:pStyle w:val="10"/>
        <w:keepNext/>
        <w:spacing w:before="1080"/>
        <w:jc w:val="center"/>
        <w:rPr>
          <w:rFonts w:ascii="Times New Roman" w:hAnsi="Times New Roman" w:cs="Times New Roman"/>
        </w:rPr>
      </w:pPr>
      <w:r>
        <w:rPr>
          <w:rFonts w:ascii="Times New Roman" w:hAnsi="Times New Roman" w:cs="Times New Roman"/>
          <w:color w:val="000000" w:themeColor="text1"/>
          <w:sz w:val="28"/>
          <w:szCs w:val="28"/>
          <w14:textFill>
            <w14:solidFill>
              <w14:schemeClr w14:val="tx1"/>
            </w14:solidFill>
          </w14:textFill>
        </w:rPr>
        <w:t>Таблица 5. Второй вариант рабочего раствора для осаждения из него хрома [37].</w:t>
      </w:r>
    </w:p>
    <w:tbl>
      <w:tblPr>
        <w:tblStyle w:val="22"/>
        <w:tblW w:w="0" w:type="auto"/>
        <w:tblInd w:w="12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28"/>
        <w:gridCol w:w="4252"/>
      </w:tblGrid>
      <w:tr w14:paraId="52AE7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828" w:type="dxa"/>
          </w:tcPr>
          <w:p w14:paraId="051B39B9">
            <w:pPr>
              <w:pStyle w:val="10"/>
              <w:keepNext/>
              <w:jc w:val="center"/>
              <w:rPr>
                <w:rFonts w:ascii="Times New Roman" w:hAnsi="Times New Roman" w:cs="Times New Roman"/>
                <w:b/>
                <w:i w:val="0"/>
                <w:sz w:val="28"/>
                <w:szCs w:val="28"/>
              </w:rPr>
            </w:pPr>
            <w:r>
              <w:rPr>
                <w:rFonts w:ascii="Times New Roman" w:hAnsi="Times New Roman" w:cs="Times New Roman"/>
                <w:b/>
                <w:i w:val="0"/>
                <w:sz w:val="28"/>
                <w:szCs w:val="28"/>
              </w:rPr>
              <w:t>Компонент</w:t>
            </w:r>
          </w:p>
        </w:tc>
        <w:tc>
          <w:tcPr>
            <w:tcW w:w="4252" w:type="dxa"/>
          </w:tcPr>
          <w:p w14:paraId="1E35399E">
            <w:pPr>
              <w:pStyle w:val="10"/>
              <w:keepNext/>
              <w:jc w:val="center"/>
              <w:rPr>
                <w:rFonts w:ascii="Times New Roman" w:hAnsi="Times New Roman" w:cs="Times New Roman"/>
                <w:b/>
                <w:i w:val="0"/>
                <w:sz w:val="28"/>
                <w:szCs w:val="28"/>
              </w:rPr>
            </w:pPr>
            <w:r>
              <w:rPr>
                <w:rFonts w:ascii="Times New Roman" w:hAnsi="Times New Roman" w:cs="Times New Roman"/>
                <w:b/>
                <w:i w:val="0"/>
                <w:sz w:val="28"/>
                <w:szCs w:val="28"/>
              </w:rPr>
              <w:t>Содержание, М</w:t>
            </w:r>
          </w:p>
        </w:tc>
      </w:tr>
      <w:tr w14:paraId="2F003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tcPr>
          <w:p w14:paraId="0760C512">
            <w:pPr>
              <w:pStyle w:val="10"/>
              <w:keepNext/>
              <w:jc w:val="center"/>
              <w:rPr>
                <w:rFonts w:ascii="Times New Roman" w:hAnsi="Times New Roman" w:cs="Times New Roman"/>
                <w:i w:val="0"/>
                <w:sz w:val="28"/>
                <w:szCs w:val="28"/>
                <w:lang w:val="en-US"/>
              </w:rPr>
            </w:pPr>
            <w:r>
              <w:rPr>
                <w:rFonts w:ascii="Times New Roman" w:hAnsi="Times New Roman" w:cs="Times New Roman"/>
                <w:i w:val="0"/>
                <w:sz w:val="28"/>
                <w:szCs w:val="28"/>
                <w:lang w:val="en-US"/>
              </w:rPr>
              <w:t>CrCl</w:t>
            </w:r>
            <w:r>
              <w:rPr>
                <w:rFonts w:ascii="Times New Roman" w:hAnsi="Times New Roman" w:cs="Times New Roman"/>
                <w:i w:val="0"/>
                <w:sz w:val="28"/>
                <w:szCs w:val="28"/>
                <w:vertAlign w:val="subscript"/>
                <w:lang w:val="en-US"/>
              </w:rPr>
              <w:t>3</w:t>
            </w:r>
            <w:r>
              <w:rPr>
                <w:rFonts w:ascii="Times New Roman" w:hAnsi="Times New Roman" w:cs="Times New Roman"/>
                <w:i w:val="0"/>
                <w:sz w:val="28"/>
                <w:szCs w:val="28"/>
                <w:lang w:val="en-US"/>
              </w:rPr>
              <w:t>.6 H2O</w:t>
            </w:r>
          </w:p>
        </w:tc>
        <w:tc>
          <w:tcPr>
            <w:tcW w:w="4252" w:type="dxa"/>
          </w:tcPr>
          <w:p w14:paraId="37EA0A15">
            <w:pPr>
              <w:pStyle w:val="10"/>
              <w:keepNext/>
              <w:jc w:val="center"/>
              <w:rPr>
                <w:rFonts w:ascii="Times New Roman" w:hAnsi="Times New Roman" w:cs="Times New Roman"/>
                <w:i w:val="0"/>
                <w:sz w:val="28"/>
                <w:szCs w:val="28"/>
              </w:rPr>
            </w:pPr>
            <w:r>
              <w:rPr>
                <w:rFonts w:ascii="Times New Roman" w:hAnsi="Times New Roman" w:cs="Times New Roman"/>
                <w:i w:val="0"/>
                <w:sz w:val="28"/>
                <w:szCs w:val="28"/>
              </w:rPr>
              <w:t>0.6</w:t>
            </w:r>
          </w:p>
        </w:tc>
      </w:tr>
      <w:tr w14:paraId="6790E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tcPr>
          <w:p w14:paraId="55993D90">
            <w:pPr>
              <w:pStyle w:val="10"/>
              <w:keepNext/>
              <w:jc w:val="center"/>
              <w:rPr>
                <w:rFonts w:ascii="Times New Roman" w:hAnsi="Times New Roman" w:cs="Times New Roman"/>
                <w:i w:val="0"/>
                <w:sz w:val="28"/>
                <w:szCs w:val="28"/>
                <w:lang w:val="en-US"/>
              </w:rPr>
            </w:pPr>
            <w:r>
              <w:rPr>
                <w:rFonts w:ascii="Times New Roman" w:hAnsi="Times New Roman" w:cs="Times New Roman"/>
                <w:i w:val="0"/>
                <w:sz w:val="28"/>
                <w:szCs w:val="28"/>
                <w:lang w:val="en-US"/>
              </w:rPr>
              <w:t>HCOOH</w:t>
            </w:r>
          </w:p>
        </w:tc>
        <w:tc>
          <w:tcPr>
            <w:tcW w:w="4252" w:type="dxa"/>
          </w:tcPr>
          <w:p w14:paraId="563425D8">
            <w:pPr>
              <w:pStyle w:val="10"/>
              <w:keepNext/>
              <w:jc w:val="center"/>
              <w:rPr>
                <w:rFonts w:ascii="Times New Roman" w:hAnsi="Times New Roman" w:cs="Times New Roman"/>
                <w:i w:val="0"/>
                <w:sz w:val="28"/>
                <w:szCs w:val="28"/>
              </w:rPr>
            </w:pPr>
            <w:r>
              <w:rPr>
                <w:rFonts w:ascii="Times New Roman" w:hAnsi="Times New Roman" w:cs="Times New Roman"/>
                <w:i w:val="0"/>
                <w:sz w:val="28"/>
                <w:szCs w:val="28"/>
              </w:rPr>
              <w:t>0.8</w:t>
            </w:r>
          </w:p>
        </w:tc>
      </w:tr>
      <w:tr w14:paraId="339EB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tcPr>
          <w:p w14:paraId="78C96BDD">
            <w:pPr>
              <w:pStyle w:val="10"/>
              <w:keepNext/>
              <w:jc w:val="center"/>
              <w:rPr>
                <w:rFonts w:ascii="Times New Roman" w:hAnsi="Times New Roman" w:cs="Times New Roman"/>
                <w:i w:val="0"/>
                <w:sz w:val="28"/>
                <w:szCs w:val="28"/>
                <w:lang w:val="en-US"/>
              </w:rPr>
            </w:pPr>
            <w:r>
              <w:rPr>
                <w:rFonts w:ascii="Times New Roman" w:hAnsi="Times New Roman" w:cs="Times New Roman"/>
                <w:i w:val="0"/>
                <w:sz w:val="28"/>
                <w:szCs w:val="28"/>
                <w:lang w:val="en-US"/>
              </w:rPr>
              <w:t>Na</w:t>
            </w:r>
            <w:r>
              <w:rPr>
                <w:rFonts w:ascii="Times New Roman" w:hAnsi="Times New Roman" w:cs="Times New Roman"/>
                <w:i w:val="0"/>
                <w:sz w:val="28"/>
                <w:szCs w:val="28"/>
                <w:vertAlign w:val="subscript"/>
                <w:lang w:val="en-US"/>
              </w:rPr>
              <w:t>3</w:t>
            </w:r>
            <w:r>
              <w:rPr>
                <w:rFonts w:ascii="Times New Roman" w:hAnsi="Times New Roman" w:cs="Times New Roman"/>
                <w:i w:val="0"/>
                <w:sz w:val="28"/>
                <w:szCs w:val="28"/>
                <w:lang w:val="en-US"/>
              </w:rPr>
              <w:t>C</w:t>
            </w:r>
            <w:r>
              <w:rPr>
                <w:rFonts w:ascii="Times New Roman" w:hAnsi="Times New Roman" w:cs="Times New Roman"/>
                <w:i w:val="0"/>
                <w:sz w:val="28"/>
                <w:szCs w:val="28"/>
                <w:vertAlign w:val="subscript"/>
                <w:lang w:val="en-US"/>
              </w:rPr>
              <w:t>6</w:t>
            </w:r>
            <w:r>
              <w:rPr>
                <w:rFonts w:ascii="Times New Roman" w:hAnsi="Times New Roman" w:cs="Times New Roman"/>
                <w:i w:val="0"/>
                <w:sz w:val="28"/>
                <w:szCs w:val="28"/>
                <w:lang w:val="en-US"/>
              </w:rPr>
              <w:t>H</w:t>
            </w:r>
            <w:r>
              <w:rPr>
                <w:rFonts w:ascii="Times New Roman" w:hAnsi="Times New Roman" w:cs="Times New Roman"/>
                <w:i w:val="0"/>
                <w:sz w:val="28"/>
                <w:szCs w:val="28"/>
                <w:vertAlign w:val="subscript"/>
                <w:lang w:val="en-US"/>
              </w:rPr>
              <w:t>5</w:t>
            </w:r>
            <w:r>
              <w:rPr>
                <w:rFonts w:ascii="Times New Roman" w:hAnsi="Times New Roman" w:cs="Times New Roman"/>
                <w:i w:val="0"/>
                <w:sz w:val="28"/>
                <w:szCs w:val="28"/>
                <w:lang w:val="en-US"/>
              </w:rPr>
              <w:t>O</w:t>
            </w:r>
            <w:r>
              <w:rPr>
                <w:rFonts w:ascii="Times New Roman" w:hAnsi="Times New Roman" w:cs="Times New Roman"/>
                <w:i w:val="0"/>
                <w:sz w:val="28"/>
                <w:szCs w:val="28"/>
                <w:vertAlign w:val="subscript"/>
                <w:lang w:val="en-US"/>
              </w:rPr>
              <w:t>7</w:t>
            </w:r>
          </w:p>
        </w:tc>
        <w:tc>
          <w:tcPr>
            <w:tcW w:w="4252" w:type="dxa"/>
          </w:tcPr>
          <w:p w14:paraId="625A1E96">
            <w:pPr>
              <w:pStyle w:val="10"/>
              <w:keepNext/>
              <w:jc w:val="center"/>
              <w:rPr>
                <w:rFonts w:ascii="Times New Roman" w:hAnsi="Times New Roman" w:cs="Times New Roman"/>
                <w:i w:val="0"/>
                <w:sz w:val="28"/>
                <w:szCs w:val="28"/>
              </w:rPr>
            </w:pPr>
            <w:r>
              <w:rPr>
                <w:rFonts w:ascii="Times New Roman" w:hAnsi="Times New Roman" w:cs="Times New Roman"/>
                <w:i w:val="0"/>
                <w:sz w:val="28"/>
                <w:szCs w:val="28"/>
              </w:rPr>
              <w:t>0.3</w:t>
            </w:r>
          </w:p>
        </w:tc>
      </w:tr>
    </w:tbl>
    <w:p w14:paraId="5EAA6DEB">
      <w:pPr>
        <w:spacing w:before="120" w:line="360" w:lineRule="auto"/>
        <w:ind w:firstLine="709"/>
        <w:jc w:val="both"/>
        <w:rPr>
          <w:color w:val="000000" w:themeColor="text1"/>
          <w:sz w:val="28"/>
          <w:szCs w:val="28"/>
          <w14:textFill>
            <w14:solidFill>
              <w14:schemeClr w14:val="tx1"/>
            </w14:solidFill>
          </w14:textFill>
        </w:rPr>
      </w:pPr>
    </w:p>
    <w:p w14:paraId="4A55B9EF">
      <w:pPr>
        <w:spacing w:before="120" w:line="360" w:lineRule="auto"/>
        <w:ind w:firstLine="709"/>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Конечный раствор является комбинацией растворов </w:t>
      </w:r>
      <w:r>
        <w:rPr>
          <w:i/>
          <w:color w:val="000000" w:themeColor="text1"/>
          <w:sz w:val="28"/>
          <w:szCs w:val="28"/>
          <w14:textFill>
            <w14:solidFill>
              <w14:schemeClr w14:val="tx1"/>
            </w14:solidFill>
          </w14:textFill>
        </w:rPr>
        <w:t>(таблица 4, таблица 5).</w:t>
      </w:r>
      <w:r>
        <w:rPr>
          <w:color w:val="000000" w:themeColor="text1"/>
          <w:sz w:val="28"/>
          <w:szCs w:val="28"/>
          <w14:textFill>
            <w14:solidFill>
              <w14:schemeClr w14:val="tx1"/>
            </w14:solidFill>
          </w14:textFill>
        </w:rPr>
        <w:t xml:space="preserve"> За основу был взят второй раствор с добавлением к нему сульфата алюминия (таблица 2), выполняющего роль катализатора процесса. После добавления к первому раствору катализатора, металл успешно осадился.</w:t>
      </w:r>
    </w:p>
    <w:p w14:paraId="342CEA77">
      <w:pPr>
        <w:spacing w:before="120" w:line="360" w:lineRule="auto"/>
        <w:ind w:firstLine="709"/>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Этапы эксперимента:</w:t>
      </w:r>
    </w:p>
    <w:p w14:paraId="454A6876">
      <w:pPr>
        <w:pStyle w:val="38"/>
        <w:numPr>
          <w:ilvl w:val="3"/>
          <w:numId w:val="2"/>
        </w:numPr>
        <w:tabs>
          <w:tab w:val="left" w:pos="-5603"/>
          <w:tab w:val="clear" w:pos="0"/>
        </w:tabs>
        <w:spacing w:before="120" w:line="480" w:lineRule="auto"/>
        <w:ind w:left="106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Синтез никелевого покрытия на медную подложку</w:t>
      </w:r>
    </w:p>
    <w:p w14:paraId="7F40D9C1">
      <w:pPr>
        <w:pStyle w:val="38"/>
        <w:numPr>
          <w:ilvl w:val="3"/>
          <w:numId w:val="2"/>
        </w:numPr>
        <w:tabs>
          <w:tab w:val="left" w:pos="-3792"/>
          <w:tab w:val="clear" w:pos="0"/>
        </w:tabs>
        <w:spacing w:before="120" w:line="480" w:lineRule="auto"/>
        <w:ind w:left="106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Синтез хромового покрытия на медную подложку</w:t>
      </w:r>
    </w:p>
    <w:p w14:paraId="138E8808">
      <w:pPr>
        <w:pStyle w:val="38"/>
        <w:numPr>
          <w:ilvl w:val="3"/>
          <w:numId w:val="2"/>
        </w:numPr>
        <w:tabs>
          <w:tab w:val="left" w:pos="-3396"/>
          <w:tab w:val="clear" w:pos="0"/>
        </w:tabs>
        <w:spacing w:before="120" w:line="480" w:lineRule="auto"/>
        <w:ind w:left="106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Синтез послойного никель – хромового покрытия на медную подложку</w:t>
      </w:r>
    </w:p>
    <w:p w14:paraId="5EF8512C">
      <w:pPr>
        <w:pStyle w:val="38"/>
        <w:numPr>
          <w:ilvl w:val="3"/>
          <w:numId w:val="2"/>
        </w:numPr>
        <w:tabs>
          <w:tab w:val="left" w:pos="-3000"/>
          <w:tab w:val="clear" w:pos="0"/>
        </w:tabs>
        <w:spacing w:before="120" w:line="480" w:lineRule="auto"/>
        <w:ind w:left="106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Синтез никелевого покрытия на подложку из сплава системы </w:t>
      </w:r>
      <w:r>
        <w:rPr>
          <w:rStyle w:val="8"/>
          <w:rFonts w:ascii="Times New Roman" w:hAnsi="Times New Roman" w:cs="Times New Roman"/>
          <w:b w:val="0"/>
          <w:bCs w:val="0"/>
          <w:sz w:val="28"/>
          <w:szCs w:val="28"/>
          <w:lang w:val="en-US"/>
        </w:rPr>
        <w:t>Co</w:t>
      </w:r>
      <w:r>
        <w:rPr>
          <w:rStyle w:val="8"/>
          <w:rFonts w:ascii="Times New Roman" w:hAnsi="Times New Roman" w:cs="Times New Roman"/>
          <w:b w:val="0"/>
          <w:bCs w:val="0"/>
          <w:sz w:val="28"/>
          <w:szCs w:val="28"/>
        </w:rPr>
        <w:t xml:space="preserve"> – </w:t>
      </w:r>
      <w:r>
        <w:rPr>
          <w:rStyle w:val="8"/>
          <w:rFonts w:ascii="Times New Roman" w:hAnsi="Times New Roman" w:cs="Times New Roman"/>
          <w:b w:val="0"/>
          <w:bCs w:val="0"/>
          <w:sz w:val="28"/>
          <w:szCs w:val="28"/>
          <w:lang w:val="en-US"/>
        </w:rPr>
        <w:t>Nb</w:t>
      </w:r>
      <w:r>
        <w:rPr>
          <w:rStyle w:val="8"/>
          <w:rFonts w:ascii="Times New Roman" w:hAnsi="Times New Roman" w:cs="Times New Roman"/>
          <w:b w:val="0"/>
          <w:bCs w:val="0"/>
          <w:sz w:val="28"/>
          <w:szCs w:val="28"/>
        </w:rPr>
        <w:t xml:space="preserve"> – </w:t>
      </w:r>
      <w:r>
        <w:rPr>
          <w:rStyle w:val="8"/>
          <w:rFonts w:ascii="Times New Roman" w:hAnsi="Times New Roman" w:cs="Times New Roman"/>
          <w:b w:val="0"/>
          <w:bCs w:val="0"/>
          <w:sz w:val="28"/>
          <w:szCs w:val="28"/>
          <w:lang w:val="en-US"/>
        </w:rPr>
        <w:t>Re</w:t>
      </w:r>
    </w:p>
    <w:p w14:paraId="18D753F7">
      <w:pPr>
        <w:pStyle w:val="38"/>
        <w:numPr>
          <w:ilvl w:val="3"/>
          <w:numId w:val="2"/>
        </w:numPr>
        <w:tabs>
          <w:tab w:val="left" w:pos="-2604"/>
          <w:tab w:val="clear" w:pos="0"/>
        </w:tabs>
        <w:spacing w:before="120" w:line="480" w:lineRule="auto"/>
        <w:ind w:left="106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Синтез хромового покрытия на подложку из сплава системы </w:t>
      </w:r>
      <w:r>
        <w:rPr>
          <w:rStyle w:val="8"/>
          <w:rFonts w:ascii="Times New Roman" w:hAnsi="Times New Roman" w:cs="Times New Roman"/>
          <w:b w:val="0"/>
          <w:bCs w:val="0"/>
          <w:sz w:val="28"/>
          <w:szCs w:val="28"/>
          <w:lang w:val="en-US"/>
        </w:rPr>
        <w:t>Co</w:t>
      </w:r>
      <w:r>
        <w:rPr>
          <w:rStyle w:val="8"/>
          <w:rFonts w:ascii="Times New Roman" w:hAnsi="Times New Roman" w:cs="Times New Roman"/>
          <w:b w:val="0"/>
          <w:bCs w:val="0"/>
          <w:sz w:val="28"/>
          <w:szCs w:val="28"/>
        </w:rPr>
        <w:t xml:space="preserve"> – </w:t>
      </w:r>
      <w:r>
        <w:rPr>
          <w:rStyle w:val="8"/>
          <w:rFonts w:ascii="Times New Roman" w:hAnsi="Times New Roman" w:cs="Times New Roman"/>
          <w:b w:val="0"/>
          <w:bCs w:val="0"/>
          <w:sz w:val="28"/>
          <w:szCs w:val="28"/>
          <w:lang w:val="en-US"/>
        </w:rPr>
        <w:t>Nb</w:t>
      </w:r>
      <w:r>
        <w:rPr>
          <w:rStyle w:val="8"/>
          <w:rFonts w:ascii="Times New Roman" w:hAnsi="Times New Roman" w:cs="Times New Roman"/>
          <w:b w:val="0"/>
          <w:bCs w:val="0"/>
          <w:sz w:val="28"/>
          <w:szCs w:val="28"/>
        </w:rPr>
        <w:t xml:space="preserve"> – </w:t>
      </w:r>
      <w:r>
        <w:rPr>
          <w:rStyle w:val="8"/>
          <w:rFonts w:ascii="Times New Roman" w:hAnsi="Times New Roman" w:cs="Times New Roman"/>
          <w:b w:val="0"/>
          <w:bCs w:val="0"/>
          <w:sz w:val="28"/>
          <w:szCs w:val="28"/>
          <w:lang w:val="en-US"/>
        </w:rPr>
        <w:t>Re</w:t>
      </w:r>
    </w:p>
    <w:p w14:paraId="69912CED">
      <w:pPr>
        <w:pStyle w:val="38"/>
        <w:numPr>
          <w:ilvl w:val="3"/>
          <w:numId w:val="2"/>
        </w:numPr>
        <w:tabs>
          <w:tab w:val="left" w:pos="-2915"/>
          <w:tab w:val="clear" w:pos="0"/>
        </w:tabs>
        <w:spacing w:before="120" w:line="480" w:lineRule="auto"/>
        <w:ind w:left="106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Синтез послойного никель – хромового покрытия на подложку из сплава системы </w:t>
      </w:r>
      <w:r>
        <w:rPr>
          <w:rStyle w:val="8"/>
          <w:rFonts w:ascii="Times New Roman" w:hAnsi="Times New Roman" w:cs="Times New Roman"/>
          <w:b w:val="0"/>
          <w:bCs w:val="0"/>
          <w:sz w:val="28"/>
          <w:szCs w:val="28"/>
          <w:lang w:val="en-US"/>
        </w:rPr>
        <w:t>Co</w:t>
      </w:r>
      <w:r>
        <w:rPr>
          <w:rStyle w:val="8"/>
          <w:rFonts w:ascii="Times New Roman" w:hAnsi="Times New Roman" w:cs="Times New Roman"/>
          <w:b w:val="0"/>
          <w:bCs w:val="0"/>
          <w:sz w:val="28"/>
          <w:szCs w:val="28"/>
        </w:rPr>
        <w:t xml:space="preserve"> – </w:t>
      </w:r>
      <w:r>
        <w:rPr>
          <w:rStyle w:val="8"/>
          <w:rFonts w:ascii="Times New Roman" w:hAnsi="Times New Roman" w:cs="Times New Roman"/>
          <w:b w:val="0"/>
          <w:bCs w:val="0"/>
          <w:sz w:val="28"/>
          <w:szCs w:val="28"/>
          <w:lang w:val="en-US"/>
        </w:rPr>
        <w:t>Nb</w:t>
      </w:r>
      <w:r>
        <w:rPr>
          <w:rStyle w:val="8"/>
          <w:rFonts w:ascii="Times New Roman" w:hAnsi="Times New Roman" w:cs="Times New Roman"/>
          <w:b w:val="0"/>
          <w:bCs w:val="0"/>
          <w:sz w:val="28"/>
          <w:szCs w:val="28"/>
        </w:rPr>
        <w:t xml:space="preserve"> – </w:t>
      </w:r>
      <w:r>
        <w:rPr>
          <w:rStyle w:val="8"/>
          <w:rFonts w:ascii="Times New Roman" w:hAnsi="Times New Roman" w:cs="Times New Roman"/>
          <w:b w:val="0"/>
          <w:bCs w:val="0"/>
          <w:sz w:val="28"/>
          <w:szCs w:val="28"/>
          <w:lang w:val="en-US"/>
        </w:rPr>
        <w:t>Re</w:t>
      </w:r>
    </w:p>
    <w:p w14:paraId="32B2A164">
      <w:pPr>
        <w:spacing w:before="120" w:line="480" w:lineRule="auto"/>
        <w:rPr>
          <w:i/>
          <w:color w:val="000000" w:themeColor="text1"/>
          <w:sz w:val="28"/>
          <w:szCs w:val="28"/>
          <w14:textFill>
            <w14:solidFill>
              <w14:schemeClr w14:val="tx1"/>
            </w14:solidFill>
          </w14:textFill>
        </w:rPr>
      </w:pPr>
    </w:p>
    <w:p w14:paraId="5560ACA3">
      <w:pPr>
        <w:spacing w:before="120" w:line="480" w:lineRule="auto"/>
        <w:ind w:firstLine="709"/>
        <w:jc w:val="both"/>
        <w:rPr>
          <w:i/>
          <w:color w:val="000000" w:themeColor="text1"/>
          <w:sz w:val="28"/>
          <w:szCs w:val="28"/>
          <w14:textFill>
            <w14:solidFill>
              <w14:schemeClr w14:val="tx1"/>
            </w14:solidFill>
          </w14:textFill>
        </w:rPr>
      </w:pPr>
    </w:p>
    <w:p w14:paraId="0ABA64FE">
      <w:pPr>
        <w:spacing w:before="120" w:line="360" w:lineRule="auto"/>
        <w:ind w:firstLine="709"/>
        <w:jc w:val="both"/>
        <w:rPr>
          <w:i/>
          <w:color w:val="000000" w:themeColor="text1"/>
          <w:sz w:val="28"/>
          <w:szCs w:val="28"/>
          <w14:textFill>
            <w14:solidFill>
              <w14:schemeClr w14:val="tx1"/>
            </w14:solidFill>
          </w14:textFill>
        </w:rPr>
      </w:pPr>
    </w:p>
    <w:p w14:paraId="73603FFD">
      <w:pPr>
        <w:pStyle w:val="3"/>
        <w:rPr>
          <w:rFonts w:cs="Times New Roman"/>
          <w:sz w:val="28"/>
          <w:szCs w:val="28"/>
        </w:rPr>
      </w:pPr>
      <w:bookmarkStart w:id="21" w:name="_Toc167999808"/>
      <w:r>
        <w:rPr>
          <w:rFonts w:cs="Times New Roman"/>
          <w:sz w:val="28"/>
          <w:szCs w:val="28"/>
        </w:rPr>
        <w:t>4.1 Локальный рентгеноспектральный анализ синтезированных образцов</w:t>
      </w:r>
      <w:bookmarkEnd w:id="21"/>
    </w:p>
    <w:p w14:paraId="04A9284A">
      <w:pPr>
        <w:pStyle w:val="4"/>
        <w:spacing w:after="360"/>
        <w:rPr>
          <w:rFonts w:cs="Times New Roman"/>
          <w:sz w:val="28"/>
          <w:szCs w:val="28"/>
        </w:rPr>
      </w:pPr>
      <w:bookmarkStart w:id="22" w:name="_Toc167999809"/>
      <w:r>
        <w:rPr>
          <w:rFonts w:cs="Times New Roman"/>
          <w:sz w:val="28"/>
          <w:szCs w:val="28"/>
        </w:rPr>
        <w:t>4.1.1 Никель на медной подложке</w:t>
      </w:r>
      <w:bookmarkEnd w:id="22"/>
    </w:p>
    <w:p w14:paraId="3EEB3B94">
      <w:pPr>
        <w:spacing w:before="240"/>
        <w:jc w:val="center"/>
        <w:rPr>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t>Таблица 6.</w:t>
      </w:r>
      <w:r>
        <w:rPr>
          <w:color w:val="000000" w:themeColor="text1"/>
          <w:sz w:val="28"/>
          <w:szCs w:val="28"/>
          <w14:textFill>
            <w14:solidFill>
              <w14:schemeClr w14:val="tx1"/>
            </w14:solidFill>
          </w14:textFill>
        </w:rPr>
        <w:t xml:space="preserve"> Элементный состав по данным ЛРСА осаждённого никеля на медь при плотности тока  -0.1А/см</w:t>
      </w:r>
      <w:r>
        <w:rPr>
          <w:color w:val="000000" w:themeColor="text1"/>
          <w:sz w:val="28"/>
          <w:szCs w:val="28"/>
          <w:vertAlign w:val="superscript"/>
          <w14:textFill>
            <w14:solidFill>
              <w14:schemeClr w14:val="tx1"/>
            </w14:solidFill>
          </w14:textFill>
        </w:rPr>
        <w:t>2</w:t>
      </w:r>
      <w:r>
        <w:rPr>
          <w:color w:val="000000" w:themeColor="text1"/>
          <w:sz w:val="28"/>
          <w:szCs w:val="28"/>
          <w14:textFill>
            <w14:solidFill>
              <w14:schemeClr w14:val="tx1"/>
            </w14:solidFill>
          </w14:textFill>
        </w:rPr>
        <w:t>.</w:t>
      </w:r>
    </w:p>
    <w:tbl>
      <w:tblPr>
        <w:tblStyle w:val="6"/>
        <w:tblpPr w:leftFromText="180" w:rightFromText="180" w:vertAnchor="text" w:horzAnchor="margin" w:tblpXSpec="center" w:tblpY="292"/>
        <w:tblW w:w="4313" w:type="dxa"/>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2611"/>
        <w:gridCol w:w="852"/>
        <w:gridCol w:w="850"/>
      </w:tblGrid>
      <w:tr w14:paraId="4E744B7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361" w:hRule="atLeast"/>
          <w:tblCellSpacing w:w="15" w:type="dxa"/>
        </w:trPr>
        <w:tc>
          <w:tcPr>
            <w:tcW w:w="2566" w:type="dxa"/>
            <w:tcBorders>
              <w:top w:val="outset" w:color="auto" w:sz="6" w:space="0"/>
              <w:left w:val="outset" w:color="auto" w:sz="6" w:space="0"/>
              <w:bottom w:val="outset" w:color="auto" w:sz="6" w:space="0"/>
              <w:right w:val="outset" w:color="auto" w:sz="6" w:space="0"/>
            </w:tcBorders>
            <w:vAlign w:val="center"/>
          </w:tcPr>
          <w:p w14:paraId="32EF0721">
            <w:pPr>
              <w:rPr>
                <w:sz w:val="28"/>
                <w:szCs w:val="28"/>
              </w:rPr>
            </w:pPr>
            <w:r>
              <w:rPr>
                <w:sz w:val="28"/>
                <w:szCs w:val="28"/>
              </w:rPr>
              <w:t>Спектр</w:t>
            </w:r>
          </w:p>
        </w:tc>
        <w:tc>
          <w:tcPr>
            <w:tcW w:w="822" w:type="dxa"/>
            <w:tcBorders>
              <w:top w:val="outset" w:color="auto" w:sz="6" w:space="0"/>
              <w:left w:val="outset" w:color="auto" w:sz="6" w:space="0"/>
              <w:bottom w:val="outset" w:color="auto" w:sz="6" w:space="0"/>
              <w:right w:val="outset" w:color="auto" w:sz="6" w:space="0"/>
            </w:tcBorders>
            <w:vAlign w:val="center"/>
          </w:tcPr>
          <w:p w14:paraId="49223709">
            <w:pPr>
              <w:rPr>
                <w:i/>
                <w:sz w:val="28"/>
                <w:szCs w:val="28"/>
              </w:rPr>
            </w:pPr>
            <w:r>
              <w:rPr>
                <w:i/>
                <w:sz w:val="28"/>
                <w:szCs w:val="28"/>
                <w:lang w:val="en-US"/>
              </w:rPr>
              <w:t xml:space="preserve">Ni, </w:t>
            </w:r>
            <w:r>
              <w:rPr>
                <w:i/>
                <w:sz w:val="28"/>
                <w:szCs w:val="28"/>
              </w:rPr>
              <w:t>ат</w:t>
            </w:r>
            <w:r>
              <w:rPr>
                <w:i/>
                <w:sz w:val="28"/>
                <w:szCs w:val="28"/>
                <w:lang w:val="en-US"/>
              </w:rPr>
              <w:t xml:space="preserve">. </w:t>
            </w:r>
            <w:r>
              <w:rPr>
                <w:i/>
                <w:sz w:val="28"/>
                <w:szCs w:val="28"/>
              </w:rPr>
              <w:t>%</w:t>
            </w:r>
          </w:p>
        </w:tc>
        <w:tc>
          <w:tcPr>
            <w:tcW w:w="805" w:type="dxa"/>
            <w:tcBorders>
              <w:top w:val="outset" w:color="auto" w:sz="6" w:space="0"/>
              <w:left w:val="outset" w:color="auto" w:sz="6" w:space="0"/>
              <w:bottom w:val="outset" w:color="auto" w:sz="6" w:space="0"/>
              <w:right w:val="outset" w:color="auto" w:sz="6" w:space="0"/>
            </w:tcBorders>
            <w:vAlign w:val="center"/>
          </w:tcPr>
          <w:p w14:paraId="2865D850">
            <w:pPr>
              <w:rPr>
                <w:i/>
                <w:sz w:val="28"/>
                <w:szCs w:val="28"/>
              </w:rPr>
            </w:pPr>
            <w:r>
              <w:rPr>
                <w:i/>
                <w:sz w:val="28"/>
                <w:szCs w:val="28"/>
                <w:lang w:val="en-US"/>
              </w:rPr>
              <w:t xml:space="preserve">Cu, </w:t>
            </w:r>
            <w:r>
              <w:rPr>
                <w:i/>
                <w:sz w:val="28"/>
                <w:szCs w:val="28"/>
              </w:rPr>
              <w:t>ат</w:t>
            </w:r>
            <w:r>
              <w:rPr>
                <w:i/>
                <w:sz w:val="28"/>
                <w:szCs w:val="28"/>
                <w:lang w:val="en-US"/>
              </w:rPr>
              <w:t xml:space="preserve">. </w:t>
            </w:r>
            <w:r>
              <w:rPr>
                <w:i/>
                <w:sz w:val="28"/>
                <w:szCs w:val="28"/>
              </w:rPr>
              <w:t>%</w:t>
            </w:r>
          </w:p>
        </w:tc>
      </w:tr>
      <w:tr w14:paraId="045B83D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7" w:hRule="atLeast"/>
          <w:tblCellSpacing w:w="15" w:type="dxa"/>
        </w:trPr>
        <w:tc>
          <w:tcPr>
            <w:tcW w:w="2566" w:type="dxa"/>
            <w:tcBorders>
              <w:top w:val="outset" w:color="auto" w:sz="6" w:space="0"/>
              <w:left w:val="outset" w:color="auto" w:sz="6" w:space="0"/>
              <w:bottom w:val="outset" w:color="auto" w:sz="6" w:space="0"/>
              <w:right w:val="outset" w:color="auto" w:sz="6" w:space="0"/>
            </w:tcBorders>
            <w:vAlign w:val="center"/>
          </w:tcPr>
          <w:p w14:paraId="0F8601A2">
            <w:pPr>
              <w:rPr>
                <w:sz w:val="28"/>
                <w:szCs w:val="28"/>
                <w:lang w:val="en-US"/>
              </w:rPr>
            </w:pPr>
          </w:p>
        </w:tc>
        <w:tc>
          <w:tcPr>
            <w:tcW w:w="822" w:type="dxa"/>
            <w:vAlign w:val="center"/>
          </w:tcPr>
          <w:p w14:paraId="7ACE216A">
            <w:pPr>
              <w:rPr>
                <w:sz w:val="28"/>
                <w:szCs w:val="28"/>
                <w:lang w:val="en-US"/>
              </w:rPr>
            </w:pPr>
          </w:p>
        </w:tc>
        <w:tc>
          <w:tcPr>
            <w:tcW w:w="805" w:type="dxa"/>
            <w:vAlign w:val="center"/>
          </w:tcPr>
          <w:p w14:paraId="44E7497D">
            <w:pPr>
              <w:rPr>
                <w:sz w:val="28"/>
                <w:szCs w:val="28"/>
                <w:lang w:val="en-US"/>
              </w:rPr>
            </w:pPr>
          </w:p>
        </w:tc>
      </w:tr>
      <w:tr w14:paraId="6A0324F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345" w:hRule="atLeast"/>
          <w:tblCellSpacing w:w="15" w:type="dxa"/>
        </w:trPr>
        <w:tc>
          <w:tcPr>
            <w:tcW w:w="2566" w:type="dxa"/>
            <w:tcBorders>
              <w:top w:val="outset" w:color="auto" w:sz="6" w:space="0"/>
              <w:left w:val="outset" w:color="auto" w:sz="6" w:space="0"/>
              <w:bottom w:val="outset" w:color="auto" w:sz="6" w:space="0"/>
              <w:right w:val="outset" w:color="auto" w:sz="6" w:space="0"/>
            </w:tcBorders>
            <w:vAlign w:val="center"/>
          </w:tcPr>
          <w:p w14:paraId="0785740A">
            <w:pPr>
              <w:rPr>
                <w:sz w:val="28"/>
                <w:szCs w:val="28"/>
                <w:lang w:val="en-US"/>
              </w:rPr>
            </w:pPr>
            <w:r>
              <w:rPr>
                <w:sz w:val="28"/>
                <w:szCs w:val="28"/>
                <w:lang w:val="en-US"/>
              </w:rPr>
              <w:t>Spectrum 1</w:t>
            </w:r>
          </w:p>
        </w:tc>
        <w:tc>
          <w:tcPr>
            <w:tcW w:w="822" w:type="dxa"/>
            <w:tcBorders>
              <w:top w:val="outset" w:color="auto" w:sz="6" w:space="0"/>
              <w:left w:val="outset" w:color="auto" w:sz="6" w:space="0"/>
              <w:bottom w:val="outset" w:color="auto" w:sz="6" w:space="0"/>
              <w:right w:val="outset" w:color="auto" w:sz="6" w:space="0"/>
            </w:tcBorders>
            <w:vAlign w:val="center"/>
          </w:tcPr>
          <w:p w14:paraId="76864E2D">
            <w:pPr>
              <w:rPr>
                <w:sz w:val="28"/>
                <w:szCs w:val="28"/>
                <w:lang w:val="en-US"/>
              </w:rPr>
            </w:pPr>
            <w:r>
              <w:rPr>
                <w:sz w:val="28"/>
                <w:szCs w:val="28"/>
                <w:lang w:val="en-US"/>
              </w:rPr>
              <w:t>96.4</w:t>
            </w:r>
          </w:p>
        </w:tc>
        <w:tc>
          <w:tcPr>
            <w:tcW w:w="805" w:type="dxa"/>
            <w:tcBorders>
              <w:top w:val="outset" w:color="auto" w:sz="6" w:space="0"/>
              <w:left w:val="outset" w:color="auto" w:sz="6" w:space="0"/>
              <w:bottom w:val="outset" w:color="auto" w:sz="6" w:space="0"/>
              <w:right w:val="outset" w:color="auto" w:sz="6" w:space="0"/>
            </w:tcBorders>
            <w:vAlign w:val="center"/>
          </w:tcPr>
          <w:p w14:paraId="364D3CDD">
            <w:pPr>
              <w:rPr>
                <w:sz w:val="28"/>
                <w:szCs w:val="28"/>
                <w:lang w:val="en-US"/>
              </w:rPr>
            </w:pPr>
            <w:r>
              <w:rPr>
                <w:sz w:val="28"/>
                <w:szCs w:val="28"/>
                <w:lang w:val="en-US"/>
              </w:rPr>
              <w:t>3.7</w:t>
            </w:r>
          </w:p>
        </w:tc>
      </w:tr>
      <w:tr w14:paraId="1E8D212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361" w:hRule="atLeast"/>
          <w:tblCellSpacing w:w="15" w:type="dxa"/>
        </w:trPr>
        <w:tc>
          <w:tcPr>
            <w:tcW w:w="2566" w:type="dxa"/>
            <w:tcBorders>
              <w:top w:val="outset" w:color="auto" w:sz="6" w:space="0"/>
              <w:left w:val="outset" w:color="auto" w:sz="6" w:space="0"/>
              <w:bottom w:val="outset" w:color="auto" w:sz="6" w:space="0"/>
              <w:right w:val="outset" w:color="auto" w:sz="6" w:space="0"/>
            </w:tcBorders>
            <w:vAlign w:val="center"/>
          </w:tcPr>
          <w:p w14:paraId="36DBDB42">
            <w:pPr>
              <w:rPr>
                <w:sz w:val="28"/>
                <w:szCs w:val="28"/>
                <w:lang w:val="en-US"/>
              </w:rPr>
            </w:pPr>
            <w:r>
              <w:rPr>
                <w:sz w:val="28"/>
                <w:szCs w:val="28"/>
                <w:lang w:val="en-US"/>
              </w:rPr>
              <w:t>Spectrum 2</w:t>
            </w:r>
          </w:p>
        </w:tc>
        <w:tc>
          <w:tcPr>
            <w:tcW w:w="822" w:type="dxa"/>
            <w:tcBorders>
              <w:top w:val="outset" w:color="auto" w:sz="6" w:space="0"/>
              <w:left w:val="outset" w:color="auto" w:sz="6" w:space="0"/>
              <w:bottom w:val="outset" w:color="auto" w:sz="6" w:space="0"/>
              <w:right w:val="outset" w:color="auto" w:sz="6" w:space="0"/>
            </w:tcBorders>
            <w:vAlign w:val="center"/>
          </w:tcPr>
          <w:p w14:paraId="12F4AC8E">
            <w:pPr>
              <w:rPr>
                <w:sz w:val="28"/>
                <w:szCs w:val="28"/>
                <w:lang w:val="en-US"/>
              </w:rPr>
            </w:pPr>
            <w:r>
              <w:rPr>
                <w:sz w:val="28"/>
                <w:szCs w:val="28"/>
                <w:lang w:val="en-US"/>
              </w:rPr>
              <w:t>96.0</w:t>
            </w:r>
          </w:p>
        </w:tc>
        <w:tc>
          <w:tcPr>
            <w:tcW w:w="805" w:type="dxa"/>
            <w:tcBorders>
              <w:top w:val="outset" w:color="auto" w:sz="6" w:space="0"/>
              <w:left w:val="outset" w:color="auto" w:sz="6" w:space="0"/>
              <w:bottom w:val="outset" w:color="auto" w:sz="6" w:space="0"/>
              <w:right w:val="outset" w:color="auto" w:sz="6" w:space="0"/>
            </w:tcBorders>
            <w:vAlign w:val="center"/>
          </w:tcPr>
          <w:p w14:paraId="0AF93528">
            <w:pPr>
              <w:rPr>
                <w:sz w:val="28"/>
                <w:szCs w:val="28"/>
                <w:lang w:val="en-US"/>
              </w:rPr>
            </w:pPr>
            <w:r>
              <w:rPr>
                <w:sz w:val="28"/>
                <w:szCs w:val="28"/>
                <w:lang w:val="en-US"/>
              </w:rPr>
              <w:t>4.0</w:t>
            </w:r>
          </w:p>
        </w:tc>
      </w:tr>
      <w:tr w14:paraId="658E94E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345" w:hRule="atLeast"/>
          <w:tblCellSpacing w:w="15" w:type="dxa"/>
        </w:trPr>
        <w:tc>
          <w:tcPr>
            <w:tcW w:w="2566" w:type="dxa"/>
            <w:tcBorders>
              <w:top w:val="outset" w:color="auto" w:sz="6" w:space="0"/>
              <w:left w:val="outset" w:color="auto" w:sz="6" w:space="0"/>
              <w:bottom w:val="outset" w:color="auto" w:sz="6" w:space="0"/>
              <w:right w:val="outset" w:color="auto" w:sz="6" w:space="0"/>
            </w:tcBorders>
            <w:vAlign w:val="center"/>
          </w:tcPr>
          <w:p w14:paraId="4DD79BB4">
            <w:pPr>
              <w:rPr>
                <w:sz w:val="28"/>
                <w:szCs w:val="28"/>
                <w:lang w:val="en-US"/>
              </w:rPr>
            </w:pPr>
            <w:r>
              <w:rPr>
                <w:sz w:val="28"/>
                <w:szCs w:val="28"/>
                <w:lang w:val="en-US"/>
              </w:rPr>
              <w:t>Spectrum 3</w:t>
            </w:r>
          </w:p>
        </w:tc>
        <w:tc>
          <w:tcPr>
            <w:tcW w:w="822" w:type="dxa"/>
            <w:tcBorders>
              <w:top w:val="outset" w:color="auto" w:sz="6" w:space="0"/>
              <w:left w:val="outset" w:color="auto" w:sz="6" w:space="0"/>
              <w:bottom w:val="outset" w:color="auto" w:sz="6" w:space="0"/>
              <w:right w:val="outset" w:color="auto" w:sz="6" w:space="0"/>
            </w:tcBorders>
            <w:vAlign w:val="center"/>
          </w:tcPr>
          <w:p w14:paraId="3C5409C9">
            <w:pPr>
              <w:rPr>
                <w:sz w:val="28"/>
                <w:szCs w:val="28"/>
                <w:lang w:val="en-US"/>
              </w:rPr>
            </w:pPr>
            <w:r>
              <w:rPr>
                <w:sz w:val="28"/>
                <w:szCs w:val="28"/>
                <w:lang w:val="en-US"/>
              </w:rPr>
              <w:t>96.5</w:t>
            </w:r>
          </w:p>
        </w:tc>
        <w:tc>
          <w:tcPr>
            <w:tcW w:w="805" w:type="dxa"/>
            <w:tcBorders>
              <w:top w:val="outset" w:color="auto" w:sz="6" w:space="0"/>
              <w:left w:val="outset" w:color="auto" w:sz="6" w:space="0"/>
              <w:bottom w:val="outset" w:color="auto" w:sz="6" w:space="0"/>
              <w:right w:val="outset" w:color="auto" w:sz="6" w:space="0"/>
            </w:tcBorders>
            <w:vAlign w:val="center"/>
          </w:tcPr>
          <w:p w14:paraId="225BEA68">
            <w:pPr>
              <w:rPr>
                <w:sz w:val="28"/>
                <w:szCs w:val="28"/>
                <w:lang w:val="en-US"/>
              </w:rPr>
            </w:pPr>
            <w:r>
              <w:rPr>
                <w:sz w:val="28"/>
                <w:szCs w:val="28"/>
                <w:lang w:val="en-US"/>
              </w:rPr>
              <w:t>3.5</w:t>
            </w:r>
          </w:p>
        </w:tc>
      </w:tr>
      <w:tr w14:paraId="2C7AD1C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361" w:hRule="atLeast"/>
          <w:tblCellSpacing w:w="15" w:type="dxa"/>
        </w:trPr>
        <w:tc>
          <w:tcPr>
            <w:tcW w:w="2566" w:type="dxa"/>
            <w:tcBorders>
              <w:top w:val="outset" w:color="auto" w:sz="6" w:space="0"/>
              <w:left w:val="outset" w:color="auto" w:sz="6" w:space="0"/>
              <w:bottom w:val="outset" w:color="auto" w:sz="6" w:space="0"/>
              <w:right w:val="outset" w:color="auto" w:sz="6" w:space="0"/>
            </w:tcBorders>
            <w:vAlign w:val="center"/>
          </w:tcPr>
          <w:p w14:paraId="2F0B67BB">
            <w:pPr>
              <w:rPr>
                <w:sz w:val="28"/>
                <w:szCs w:val="28"/>
                <w:lang w:val="en-US"/>
              </w:rPr>
            </w:pPr>
            <w:r>
              <w:rPr>
                <w:sz w:val="28"/>
                <w:szCs w:val="28"/>
                <w:lang w:val="en-US"/>
              </w:rPr>
              <w:t>Spectrum 4</w:t>
            </w:r>
          </w:p>
        </w:tc>
        <w:tc>
          <w:tcPr>
            <w:tcW w:w="822" w:type="dxa"/>
            <w:tcBorders>
              <w:top w:val="outset" w:color="auto" w:sz="6" w:space="0"/>
              <w:left w:val="outset" w:color="auto" w:sz="6" w:space="0"/>
              <w:bottom w:val="outset" w:color="auto" w:sz="6" w:space="0"/>
              <w:right w:val="outset" w:color="auto" w:sz="6" w:space="0"/>
            </w:tcBorders>
            <w:vAlign w:val="center"/>
          </w:tcPr>
          <w:p w14:paraId="1908CFFE">
            <w:pPr>
              <w:rPr>
                <w:sz w:val="28"/>
                <w:szCs w:val="28"/>
                <w:lang w:val="en-US"/>
              </w:rPr>
            </w:pPr>
            <w:r>
              <w:rPr>
                <w:sz w:val="28"/>
                <w:szCs w:val="28"/>
                <w:lang w:val="en-US"/>
              </w:rPr>
              <w:t>96.3</w:t>
            </w:r>
          </w:p>
        </w:tc>
        <w:tc>
          <w:tcPr>
            <w:tcW w:w="805" w:type="dxa"/>
            <w:tcBorders>
              <w:top w:val="outset" w:color="auto" w:sz="6" w:space="0"/>
              <w:left w:val="outset" w:color="auto" w:sz="6" w:space="0"/>
              <w:bottom w:val="outset" w:color="auto" w:sz="6" w:space="0"/>
              <w:right w:val="outset" w:color="auto" w:sz="6" w:space="0"/>
            </w:tcBorders>
            <w:vAlign w:val="center"/>
          </w:tcPr>
          <w:p w14:paraId="55349D64">
            <w:pPr>
              <w:rPr>
                <w:sz w:val="28"/>
                <w:szCs w:val="28"/>
                <w:lang w:val="en-US"/>
              </w:rPr>
            </w:pPr>
            <w:r>
              <w:rPr>
                <w:sz w:val="28"/>
                <w:szCs w:val="28"/>
                <w:lang w:val="en-US"/>
              </w:rPr>
              <w:t>3.7</w:t>
            </w:r>
          </w:p>
        </w:tc>
      </w:tr>
      <w:tr w14:paraId="1DB4EB6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345" w:hRule="atLeast"/>
          <w:tblCellSpacing w:w="15" w:type="dxa"/>
        </w:trPr>
        <w:tc>
          <w:tcPr>
            <w:tcW w:w="2566" w:type="dxa"/>
            <w:tcBorders>
              <w:top w:val="outset" w:color="auto" w:sz="6" w:space="0"/>
              <w:left w:val="outset" w:color="auto" w:sz="6" w:space="0"/>
              <w:bottom w:val="outset" w:color="auto" w:sz="6" w:space="0"/>
              <w:right w:val="outset" w:color="auto" w:sz="6" w:space="0"/>
            </w:tcBorders>
            <w:vAlign w:val="center"/>
          </w:tcPr>
          <w:p w14:paraId="05015484">
            <w:pPr>
              <w:rPr>
                <w:sz w:val="28"/>
                <w:szCs w:val="28"/>
                <w:lang w:val="en-US"/>
              </w:rPr>
            </w:pPr>
            <w:r>
              <w:rPr>
                <w:sz w:val="28"/>
                <w:szCs w:val="28"/>
                <w:lang w:val="en-US"/>
              </w:rPr>
              <w:t>Spectrum 5</w:t>
            </w:r>
          </w:p>
        </w:tc>
        <w:tc>
          <w:tcPr>
            <w:tcW w:w="822" w:type="dxa"/>
            <w:tcBorders>
              <w:top w:val="outset" w:color="auto" w:sz="6" w:space="0"/>
              <w:left w:val="outset" w:color="auto" w:sz="6" w:space="0"/>
              <w:bottom w:val="outset" w:color="auto" w:sz="6" w:space="0"/>
              <w:right w:val="outset" w:color="auto" w:sz="6" w:space="0"/>
            </w:tcBorders>
            <w:vAlign w:val="center"/>
          </w:tcPr>
          <w:p w14:paraId="41752030">
            <w:pPr>
              <w:rPr>
                <w:sz w:val="28"/>
                <w:szCs w:val="28"/>
                <w:lang w:val="en-US"/>
              </w:rPr>
            </w:pPr>
            <w:r>
              <w:rPr>
                <w:sz w:val="28"/>
                <w:szCs w:val="28"/>
                <w:lang w:val="en-US"/>
              </w:rPr>
              <w:t>96.0</w:t>
            </w:r>
          </w:p>
        </w:tc>
        <w:tc>
          <w:tcPr>
            <w:tcW w:w="805" w:type="dxa"/>
            <w:tcBorders>
              <w:top w:val="outset" w:color="auto" w:sz="6" w:space="0"/>
              <w:left w:val="outset" w:color="auto" w:sz="6" w:space="0"/>
              <w:bottom w:val="outset" w:color="auto" w:sz="6" w:space="0"/>
              <w:right w:val="outset" w:color="auto" w:sz="6" w:space="0"/>
            </w:tcBorders>
            <w:vAlign w:val="center"/>
          </w:tcPr>
          <w:p w14:paraId="1268D9C3">
            <w:pPr>
              <w:rPr>
                <w:sz w:val="28"/>
                <w:szCs w:val="28"/>
                <w:lang w:val="en-US"/>
              </w:rPr>
            </w:pPr>
            <w:r>
              <w:rPr>
                <w:sz w:val="28"/>
                <w:szCs w:val="28"/>
                <w:lang w:val="en-US"/>
              </w:rPr>
              <w:t>4.0</w:t>
            </w:r>
          </w:p>
        </w:tc>
      </w:tr>
      <w:tr w14:paraId="22832E5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7" w:hRule="atLeast"/>
          <w:tblCellSpacing w:w="15" w:type="dxa"/>
        </w:trPr>
        <w:tc>
          <w:tcPr>
            <w:tcW w:w="2566" w:type="dxa"/>
            <w:tcBorders>
              <w:top w:val="outset" w:color="auto" w:sz="6" w:space="0"/>
              <w:left w:val="outset" w:color="auto" w:sz="6" w:space="0"/>
              <w:bottom w:val="outset" w:color="auto" w:sz="6" w:space="0"/>
              <w:right w:val="outset" w:color="auto" w:sz="6" w:space="0"/>
            </w:tcBorders>
            <w:vAlign w:val="center"/>
          </w:tcPr>
          <w:p w14:paraId="19865F8C">
            <w:pPr>
              <w:rPr>
                <w:sz w:val="28"/>
                <w:szCs w:val="28"/>
                <w:lang w:val="en-US"/>
              </w:rPr>
            </w:pPr>
          </w:p>
        </w:tc>
        <w:tc>
          <w:tcPr>
            <w:tcW w:w="822" w:type="dxa"/>
            <w:vAlign w:val="center"/>
          </w:tcPr>
          <w:p w14:paraId="2E3F33ED">
            <w:pPr>
              <w:rPr>
                <w:sz w:val="28"/>
                <w:szCs w:val="28"/>
                <w:lang w:val="en-US"/>
              </w:rPr>
            </w:pPr>
          </w:p>
        </w:tc>
        <w:tc>
          <w:tcPr>
            <w:tcW w:w="805" w:type="dxa"/>
            <w:vAlign w:val="center"/>
          </w:tcPr>
          <w:p w14:paraId="64630637">
            <w:pPr>
              <w:rPr>
                <w:sz w:val="28"/>
                <w:szCs w:val="28"/>
                <w:lang w:val="en-US"/>
              </w:rPr>
            </w:pPr>
          </w:p>
        </w:tc>
      </w:tr>
      <w:tr w14:paraId="5BE3A64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378" w:hRule="atLeast"/>
          <w:tblCellSpacing w:w="15" w:type="dxa"/>
        </w:trPr>
        <w:tc>
          <w:tcPr>
            <w:tcW w:w="2566" w:type="dxa"/>
            <w:tcBorders>
              <w:top w:val="outset" w:color="auto" w:sz="6" w:space="0"/>
              <w:left w:val="outset" w:color="auto" w:sz="6" w:space="0"/>
              <w:bottom w:val="outset" w:color="auto" w:sz="6" w:space="0"/>
              <w:right w:val="outset" w:color="auto" w:sz="6" w:space="0"/>
            </w:tcBorders>
            <w:vAlign w:val="center"/>
          </w:tcPr>
          <w:p w14:paraId="0D3A2293">
            <w:pPr>
              <w:rPr>
                <w:sz w:val="28"/>
                <w:szCs w:val="28"/>
                <w:lang w:val="en-US"/>
              </w:rPr>
            </w:pPr>
            <w:r>
              <w:rPr>
                <w:sz w:val="28"/>
                <w:szCs w:val="28"/>
              </w:rPr>
              <w:t>Среднее</w:t>
            </w:r>
          </w:p>
        </w:tc>
        <w:tc>
          <w:tcPr>
            <w:tcW w:w="822" w:type="dxa"/>
            <w:tcBorders>
              <w:top w:val="outset" w:color="auto" w:sz="6" w:space="0"/>
              <w:left w:val="outset" w:color="auto" w:sz="6" w:space="0"/>
              <w:bottom w:val="outset" w:color="auto" w:sz="6" w:space="0"/>
              <w:right w:val="outset" w:color="auto" w:sz="6" w:space="0"/>
            </w:tcBorders>
            <w:vAlign w:val="center"/>
          </w:tcPr>
          <w:p w14:paraId="444ADDC9">
            <w:pPr>
              <w:rPr>
                <w:sz w:val="28"/>
                <w:szCs w:val="28"/>
              </w:rPr>
            </w:pPr>
            <w:r>
              <w:rPr>
                <w:sz w:val="28"/>
                <w:szCs w:val="28"/>
              </w:rPr>
              <w:t>96.2</w:t>
            </w:r>
          </w:p>
        </w:tc>
        <w:tc>
          <w:tcPr>
            <w:tcW w:w="805" w:type="dxa"/>
            <w:tcBorders>
              <w:top w:val="outset" w:color="auto" w:sz="6" w:space="0"/>
              <w:left w:val="outset" w:color="auto" w:sz="6" w:space="0"/>
              <w:bottom w:val="outset" w:color="auto" w:sz="6" w:space="0"/>
              <w:right w:val="outset" w:color="auto" w:sz="6" w:space="0"/>
            </w:tcBorders>
            <w:vAlign w:val="center"/>
          </w:tcPr>
          <w:p w14:paraId="45C41A56">
            <w:pPr>
              <w:rPr>
                <w:sz w:val="28"/>
                <w:szCs w:val="28"/>
              </w:rPr>
            </w:pPr>
            <w:r>
              <w:rPr>
                <w:sz w:val="28"/>
                <w:szCs w:val="28"/>
              </w:rPr>
              <w:t>3.8</w:t>
            </w:r>
          </w:p>
        </w:tc>
      </w:tr>
      <w:tr w14:paraId="3FF61E5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361" w:hRule="atLeast"/>
          <w:tblCellSpacing w:w="15" w:type="dxa"/>
        </w:trPr>
        <w:tc>
          <w:tcPr>
            <w:tcW w:w="2566" w:type="dxa"/>
            <w:tcBorders>
              <w:top w:val="outset" w:color="auto" w:sz="6" w:space="0"/>
              <w:left w:val="outset" w:color="auto" w:sz="6" w:space="0"/>
              <w:bottom w:val="outset" w:color="auto" w:sz="6" w:space="0"/>
              <w:right w:val="outset" w:color="auto" w:sz="6" w:space="0"/>
            </w:tcBorders>
            <w:vAlign w:val="center"/>
          </w:tcPr>
          <w:p w14:paraId="3FE62E24">
            <w:pPr>
              <w:rPr>
                <w:sz w:val="28"/>
                <w:szCs w:val="28"/>
              </w:rPr>
            </w:pPr>
            <w:r>
              <w:rPr>
                <w:sz w:val="28"/>
                <w:szCs w:val="28"/>
              </w:rPr>
              <w:t>Станд. отклонение</w:t>
            </w:r>
          </w:p>
        </w:tc>
        <w:tc>
          <w:tcPr>
            <w:tcW w:w="822" w:type="dxa"/>
            <w:tcBorders>
              <w:top w:val="outset" w:color="auto" w:sz="6" w:space="0"/>
              <w:left w:val="outset" w:color="auto" w:sz="6" w:space="0"/>
              <w:bottom w:val="outset" w:color="auto" w:sz="6" w:space="0"/>
              <w:right w:val="outset" w:color="auto" w:sz="6" w:space="0"/>
            </w:tcBorders>
            <w:vAlign w:val="center"/>
          </w:tcPr>
          <w:p w14:paraId="539A7BE9">
            <w:pPr>
              <w:rPr>
                <w:sz w:val="28"/>
                <w:szCs w:val="28"/>
              </w:rPr>
            </w:pPr>
            <w:r>
              <w:rPr>
                <w:sz w:val="28"/>
                <w:szCs w:val="28"/>
              </w:rPr>
              <w:t>0.2</w:t>
            </w:r>
          </w:p>
        </w:tc>
        <w:tc>
          <w:tcPr>
            <w:tcW w:w="805" w:type="dxa"/>
            <w:tcBorders>
              <w:top w:val="outset" w:color="auto" w:sz="6" w:space="0"/>
              <w:left w:val="outset" w:color="auto" w:sz="6" w:space="0"/>
              <w:bottom w:val="outset" w:color="auto" w:sz="6" w:space="0"/>
              <w:right w:val="outset" w:color="auto" w:sz="6" w:space="0"/>
            </w:tcBorders>
            <w:vAlign w:val="center"/>
          </w:tcPr>
          <w:p w14:paraId="12F5D1DD">
            <w:pPr>
              <w:rPr>
                <w:sz w:val="28"/>
                <w:szCs w:val="28"/>
              </w:rPr>
            </w:pPr>
            <w:r>
              <w:rPr>
                <w:sz w:val="28"/>
                <w:szCs w:val="28"/>
              </w:rPr>
              <w:t>0.2</w:t>
            </w:r>
          </w:p>
        </w:tc>
      </w:tr>
    </w:tbl>
    <w:p w14:paraId="1010E214">
      <w:pPr>
        <w:spacing w:before="120" w:line="360" w:lineRule="auto"/>
        <w:rPr>
          <w:i/>
          <w:color w:val="000000" w:themeColor="text1"/>
          <w:sz w:val="28"/>
          <w:szCs w:val="28"/>
          <w14:textFill>
            <w14:solidFill>
              <w14:schemeClr w14:val="tx1"/>
            </w14:solidFill>
          </w14:textFill>
        </w:rPr>
      </w:pPr>
    </w:p>
    <w:p w14:paraId="481F0041">
      <w:pPr>
        <w:spacing w:before="120" w:line="360" w:lineRule="auto"/>
        <w:ind w:firstLine="709"/>
        <w:rPr>
          <w:i/>
          <w:color w:val="000000" w:themeColor="text1"/>
          <w:sz w:val="28"/>
          <w:szCs w:val="28"/>
          <w14:textFill>
            <w14:solidFill>
              <w14:schemeClr w14:val="tx1"/>
            </w14:solidFill>
          </w14:textFill>
        </w:rPr>
      </w:pPr>
    </w:p>
    <w:p w14:paraId="4D70CD9B">
      <w:pPr>
        <w:spacing w:before="120" w:line="360" w:lineRule="auto"/>
        <w:jc w:val="both"/>
        <w:rPr>
          <w:color w:val="000000" w:themeColor="text1"/>
          <w:sz w:val="28"/>
          <w:szCs w:val="28"/>
          <w14:textFill>
            <w14:solidFill>
              <w14:schemeClr w14:val="tx1"/>
            </w14:solidFill>
          </w14:textFill>
        </w:rPr>
      </w:pPr>
    </w:p>
    <w:p w14:paraId="3AF2F037">
      <w:pPr>
        <w:spacing w:before="120" w:line="360" w:lineRule="auto"/>
        <w:jc w:val="both"/>
        <w:rPr>
          <w:b/>
          <w:bCs/>
          <w:sz w:val="28"/>
          <w:szCs w:val="28"/>
        </w:rPr>
      </w:pPr>
    </w:p>
    <w:p w14:paraId="451928BC">
      <w:pPr>
        <w:rPr>
          <w:rStyle w:val="8"/>
          <w:b w:val="0"/>
          <w:bCs w:val="0"/>
        </w:rPr>
      </w:pPr>
    </w:p>
    <w:p w14:paraId="698C1C98">
      <w:pPr>
        <w:rPr>
          <w:color w:val="000000" w:themeColor="text1"/>
          <w:sz w:val="28"/>
          <w:szCs w:val="28"/>
          <w14:textFill>
            <w14:solidFill>
              <w14:schemeClr w14:val="tx1"/>
            </w14:solidFill>
          </w14:textFill>
        </w:rPr>
      </w:pPr>
    </w:p>
    <w:p w14:paraId="60E37B1A">
      <w:pPr>
        <w:rPr>
          <w:color w:val="000000" w:themeColor="text1"/>
          <w:sz w:val="28"/>
          <w:szCs w:val="28"/>
          <w14:textFill>
            <w14:solidFill>
              <w14:schemeClr w14:val="tx1"/>
            </w14:solidFill>
          </w14:textFill>
        </w:rPr>
      </w:pPr>
    </w:p>
    <w:p w14:paraId="4113C44F">
      <w:pPr>
        <w:rPr>
          <w:color w:val="000000" w:themeColor="text1"/>
          <w:sz w:val="28"/>
          <w:szCs w:val="28"/>
          <w14:textFill>
            <w14:solidFill>
              <w14:schemeClr w14:val="tx1"/>
            </w14:solidFill>
          </w14:textFill>
        </w:rPr>
      </w:pPr>
    </w:p>
    <w:p w14:paraId="7E984B87">
      <w:pPr>
        <w:rPr>
          <w:color w:val="000000" w:themeColor="text1"/>
          <w:sz w:val="28"/>
          <w:szCs w:val="28"/>
          <w14:textFill>
            <w14:solidFill>
              <w14:schemeClr w14:val="tx1"/>
            </w14:solidFill>
          </w14:textFill>
        </w:rPr>
      </w:pPr>
    </w:p>
    <w:p w14:paraId="01CBD9E1">
      <w:pPr>
        <w:rPr>
          <w:color w:val="000000" w:themeColor="text1"/>
          <w:sz w:val="28"/>
          <w:szCs w:val="28"/>
          <w14:textFill>
            <w14:solidFill>
              <w14:schemeClr w14:val="tx1"/>
            </w14:solidFill>
          </w14:textFill>
        </w:rPr>
      </w:pPr>
    </w:p>
    <w:p w14:paraId="35797FCC">
      <w:pPr>
        <w:rPr>
          <w:color w:val="000000" w:themeColor="text1"/>
          <w:sz w:val="28"/>
          <w:szCs w:val="28"/>
          <w14:textFill>
            <w14:solidFill>
              <w14:schemeClr w14:val="tx1"/>
            </w14:solidFill>
          </w14:textFill>
        </w:rPr>
      </w:pPr>
    </w:p>
    <w:p w14:paraId="1887CA48">
      <w:pPr>
        <w:rPr>
          <w:rFonts w:eastAsiaTheme="majorEastAsia"/>
          <w:b/>
          <w:bCs/>
          <w:color w:val="000000" w:themeColor="text1"/>
          <w:sz w:val="28"/>
          <w:szCs w:val="28"/>
          <w14:textFill>
            <w14:solidFill>
              <w14:schemeClr w14:val="tx1"/>
            </w14:solidFill>
          </w14:textFill>
        </w:rPr>
      </w:pPr>
    </w:p>
    <w:p w14:paraId="69724B6E">
      <w:pPr>
        <w:keepNext/>
        <w:jc w:val="center"/>
      </w:pPr>
      <w:r>
        <w:rPr>
          <w:rFonts w:eastAsiaTheme="majorEastAsia"/>
          <w:b/>
          <w:bCs/>
          <w:color w:val="000000" w:themeColor="text1"/>
          <w:sz w:val="28"/>
          <w:szCs w:val="28"/>
          <w14:textFill>
            <w14:solidFill>
              <w14:schemeClr w14:val="tx1"/>
            </w14:solidFill>
          </w14:textFill>
        </w:rPr>
        <w:drawing>
          <wp:inline distT="0" distB="0" distL="0" distR="0">
            <wp:extent cx="3004185" cy="180149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004460" cy="1801588"/>
                    </a:xfrm>
                    <a:prstGeom prst="rect">
                      <a:avLst/>
                    </a:prstGeom>
                  </pic:spPr>
                </pic:pic>
              </a:graphicData>
            </a:graphic>
          </wp:inline>
        </w:drawing>
      </w:r>
      <w:r>
        <w:drawing>
          <wp:inline distT="0" distB="0" distL="0" distR="0">
            <wp:extent cx="2289175" cy="17970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89600" cy="1797597"/>
                    </a:xfrm>
                    <a:prstGeom prst="rect">
                      <a:avLst/>
                    </a:prstGeom>
                  </pic:spPr>
                </pic:pic>
              </a:graphicData>
            </a:graphic>
          </wp:inline>
        </w:drawing>
      </w:r>
    </w:p>
    <w:p w14:paraId="409526FB">
      <w:pPr>
        <w:keepNext/>
        <w:jc w:val="center"/>
        <w:rPr>
          <w:i/>
        </w:rPr>
      </w:pPr>
      <w:r>
        <w:rPr>
          <w:i/>
        </w:rPr>
        <w:t>(а)</w:t>
      </w:r>
      <w:r>
        <w:rPr>
          <w:i/>
        </w:rPr>
        <w:tab/>
      </w:r>
      <w:r>
        <w:rPr>
          <w:i/>
        </w:rPr>
        <w:tab/>
      </w:r>
      <w:r>
        <w:rPr>
          <w:i/>
        </w:rPr>
        <w:tab/>
      </w:r>
      <w:r>
        <w:rPr>
          <w:i/>
        </w:rPr>
        <w:tab/>
      </w:r>
      <w:r>
        <w:rPr>
          <w:i/>
        </w:rPr>
        <w:tab/>
      </w:r>
      <w:r>
        <w:rPr>
          <w:i/>
        </w:rPr>
        <w:tab/>
      </w:r>
      <w:r>
        <w:rPr>
          <w:i/>
        </w:rPr>
        <w:tab/>
      </w:r>
      <w:r>
        <w:rPr>
          <w:i/>
        </w:rPr>
        <w:t>(б)</w:t>
      </w:r>
    </w:p>
    <w:p w14:paraId="7ED95FBB">
      <w:pPr>
        <w:pStyle w:val="10"/>
        <w:spacing w:after="360"/>
        <w:jc w:val="center"/>
        <w:rPr>
          <w:rFonts w:ascii="Times New Roman" w:hAnsi="Times New Roman" w:cs="Times New Roman"/>
          <w:i w:val="0"/>
          <w:sz w:val="28"/>
          <w:szCs w:val="28"/>
        </w:rPr>
      </w:pPr>
      <w:r>
        <w:rPr>
          <w:rFonts w:ascii="Times New Roman" w:hAnsi="Times New Roman" w:cs="Times New Roman"/>
          <w:sz w:val="28"/>
          <w:szCs w:val="28"/>
        </w:rPr>
        <w:t xml:space="preserve">Рисунок 7. </w:t>
      </w:r>
      <w:r>
        <w:rPr>
          <w:rFonts w:ascii="Times New Roman" w:hAnsi="Times New Roman" w:cs="Times New Roman"/>
          <w:i w:val="0"/>
          <w:sz w:val="28"/>
          <w:szCs w:val="28"/>
        </w:rPr>
        <w:t>ЛРСА, спектр осажденного никеля на медную пластину (</w:t>
      </w:r>
      <w:r>
        <w:rPr>
          <w:rFonts w:ascii="Times New Roman" w:hAnsi="Times New Roman" w:cs="Times New Roman"/>
          <w:sz w:val="28"/>
          <w:szCs w:val="28"/>
        </w:rPr>
        <w:t>а</w:t>
      </w:r>
      <w:r>
        <w:rPr>
          <w:rFonts w:ascii="Times New Roman" w:hAnsi="Times New Roman" w:cs="Times New Roman"/>
          <w:i w:val="0"/>
          <w:sz w:val="28"/>
          <w:szCs w:val="28"/>
        </w:rPr>
        <w:t xml:space="preserve">), микрофотография образца осажденного </w:t>
      </w:r>
      <w:r>
        <w:rPr>
          <w:rFonts w:ascii="Times New Roman" w:hAnsi="Times New Roman" w:cs="Times New Roman"/>
          <w:i w:val="0"/>
          <w:sz w:val="28"/>
          <w:szCs w:val="28"/>
          <w:lang w:val="en-US"/>
        </w:rPr>
        <w:t>Ni</w:t>
      </w:r>
      <w:r>
        <w:rPr>
          <w:rFonts w:ascii="Times New Roman" w:hAnsi="Times New Roman" w:cs="Times New Roman"/>
          <w:i w:val="0"/>
          <w:sz w:val="28"/>
          <w:szCs w:val="28"/>
        </w:rPr>
        <w:t xml:space="preserve"> на </w:t>
      </w:r>
      <w:r>
        <w:rPr>
          <w:rFonts w:ascii="Times New Roman" w:hAnsi="Times New Roman" w:cs="Times New Roman"/>
          <w:i w:val="0"/>
          <w:sz w:val="28"/>
          <w:szCs w:val="28"/>
          <w:lang w:val="en-US"/>
        </w:rPr>
        <w:t>Cu</w:t>
      </w:r>
      <w:r>
        <w:rPr>
          <w:rFonts w:ascii="Times New Roman" w:hAnsi="Times New Roman" w:cs="Times New Roman"/>
          <w:i w:val="0"/>
          <w:sz w:val="28"/>
          <w:szCs w:val="28"/>
        </w:rPr>
        <w:t xml:space="preserve"> (</w:t>
      </w:r>
      <w:r>
        <w:rPr>
          <w:rFonts w:ascii="Times New Roman" w:hAnsi="Times New Roman" w:cs="Times New Roman"/>
          <w:sz w:val="28"/>
          <w:szCs w:val="28"/>
        </w:rPr>
        <w:t>б</w:t>
      </w:r>
      <w:r>
        <w:rPr>
          <w:rFonts w:ascii="Times New Roman" w:hAnsi="Times New Roman" w:cs="Times New Roman"/>
          <w:i w:val="0"/>
          <w:sz w:val="28"/>
          <w:szCs w:val="28"/>
        </w:rPr>
        <w:t>).</w:t>
      </w:r>
    </w:p>
    <w:p w14:paraId="5D1D6252">
      <w:pPr>
        <w:autoSpaceDE w:val="0"/>
        <w:autoSpaceDN w:val="0"/>
        <w:adjustRightInd w:val="0"/>
        <w:spacing w:line="360" w:lineRule="auto"/>
        <w:ind w:firstLine="709"/>
        <w:jc w:val="both"/>
        <w:rPr>
          <w:rFonts w:eastAsiaTheme="minorHAnsi"/>
          <w:sz w:val="28"/>
          <w:szCs w:val="28"/>
          <w:lang w:eastAsia="en-US"/>
        </w:rPr>
      </w:pPr>
      <w:r>
        <w:rPr>
          <w:sz w:val="28"/>
          <w:szCs w:val="28"/>
        </w:rPr>
        <w:t>По данным ЛРСА спектра (</w:t>
      </w:r>
      <w:r>
        <w:rPr>
          <w:i/>
          <w:sz w:val="28"/>
          <w:szCs w:val="28"/>
        </w:rPr>
        <w:t>рис. 7 (а)</w:t>
      </w:r>
      <w:r>
        <w:rPr>
          <w:sz w:val="28"/>
          <w:szCs w:val="28"/>
        </w:rPr>
        <w:t>) мы видим, что состав полученного покрытия соответствует ожидаемому, имеютя только пики никеля и меди. Медь «просвечивает» от подложки, что свидетельствует о толщине покрытия менее 30 мкм. По поверхности (</w:t>
      </w:r>
      <w:r>
        <w:rPr>
          <w:i/>
          <w:sz w:val="28"/>
          <w:szCs w:val="28"/>
        </w:rPr>
        <w:t>рис. 7 (б)</w:t>
      </w:r>
      <w:r>
        <w:rPr>
          <w:sz w:val="28"/>
          <w:szCs w:val="28"/>
        </w:rPr>
        <w:t xml:space="preserve">) покрытие распределено равномерно и также имеет равномерный состав, о чем всидетельствует содержание никеля в разных точках повкрхности, равное </w:t>
      </w:r>
      <w:r>
        <w:rPr>
          <w:i/>
          <w:sz w:val="28"/>
          <w:szCs w:val="28"/>
        </w:rPr>
        <w:t xml:space="preserve">96 </w:t>
      </w:r>
      <w:r>
        <w:rPr>
          <w:rFonts w:eastAsiaTheme="minorHAnsi"/>
          <w:i/>
          <w:sz w:val="28"/>
          <w:szCs w:val="28"/>
          <w:lang w:eastAsia="en-US"/>
        </w:rPr>
        <w:t xml:space="preserve">± </w:t>
      </w:r>
      <w:r>
        <w:rPr>
          <w:i/>
          <w:sz w:val="28"/>
          <w:szCs w:val="28"/>
        </w:rPr>
        <w:t>0,5 ат. %.</w:t>
      </w:r>
    </w:p>
    <w:p w14:paraId="173AA090">
      <w:pPr>
        <w:pStyle w:val="4"/>
        <w:rPr>
          <w:rFonts w:cs="Times New Roman"/>
          <w:sz w:val="28"/>
          <w:szCs w:val="28"/>
        </w:rPr>
      </w:pPr>
      <w:bookmarkStart w:id="23" w:name="_Toc167999810"/>
      <w:r>
        <w:rPr>
          <w:rFonts w:cs="Times New Roman"/>
          <w:sz w:val="28"/>
          <w:szCs w:val="28"/>
        </w:rPr>
        <w:t>4.1.2 Осажденный на медную пластинку хром</w:t>
      </w:r>
      <w:bookmarkEnd w:id="23"/>
    </w:p>
    <w:p w14:paraId="5522C0FA">
      <w:pPr>
        <w:spacing w:before="240"/>
        <w:jc w:val="center"/>
        <w:rPr>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t>Таблица 7.</w:t>
      </w:r>
      <w:r>
        <w:rPr>
          <w:color w:val="000000" w:themeColor="text1"/>
          <w:sz w:val="28"/>
          <w:szCs w:val="28"/>
          <w14:textFill>
            <w14:solidFill>
              <w14:schemeClr w14:val="tx1"/>
            </w14:solidFill>
          </w14:textFill>
        </w:rPr>
        <w:t xml:space="preserve"> Элементный состав по данным ЛРСА осаждённого хрома на медь, </w:t>
      </w:r>
    </w:p>
    <w:p w14:paraId="74E8D0BE">
      <w:pPr>
        <w:spacing w:before="240"/>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плотность тока    </w:t>
      </w:r>
      <w:r>
        <w:rPr>
          <w:i/>
          <w:color w:val="000000" w:themeColor="text1"/>
          <w:sz w:val="28"/>
          <w:szCs w:val="28"/>
          <w14:textFill>
            <w14:solidFill>
              <w14:schemeClr w14:val="tx1"/>
            </w14:solidFill>
          </w14:textFill>
        </w:rPr>
        <w:t>– 0.3А/см</w:t>
      </w:r>
      <w:r>
        <w:rPr>
          <w:i/>
          <w:color w:val="000000" w:themeColor="text1"/>
          <w:sz w:val="28"/>
          <w:szCs w:val="28"/>
          <w:vertAlign w:val="superscript"/>
          <w14:textFill>
            <w14:solidFill>
              <w14:schemeClr w14:val="tx1"/>
            </w14:solidFill>
          </w14:textFill>
        </w:rPr>
        <w:t>2</w:t>
      </w:r>
      <w:r>
        <w:rPr>
          <w:i/>
          <w:color w:val="000000" w:themeColor="text1"/>
          <w:sz w:val="28"/>
          <w:szCs w:val="28"/>
          <w14:textFill>
            <w14:solidFill>
              <w14:schemeClr w14:val="tx1"/>
            </w14:solidFill>
          </w14:textFill>
        </w:rPr>
        <w:t>.</w:t>
      </w:r>
    </w:p>
    <w:tbl>
      <w:tblPr>
        <w:tblStyle w:val="6"/>
        <w:tblW w:w="4266" w:type="dxa"/>
        <w:tblCellSpacing w:w="15" w:type="dxa"/>
        <w:tblInd w:w="243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2565"/>
        <w:gridCol w:w="851"/>
        <w:gridCol w:w="850"/>
      </w:tblGrid>
      <w:tr w14:paraId="3447D31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436" w:hRule="atLeast"/>
          <w:tblCellSpacing w:w="15" w:type="dxa"/>
        </w:trPr>
        <w:tc>
          <w:tcPr>
            <w:tcW w:w="2520" w:type="dxa"/>
            <w:tcBorders>
              <w:top w:val="outset" w:color="auto" w:sz="6" w:space="0"/>
              <w:left w:val="outset" w:color="auto" w:sz="6" w:space="0"/>
              <w:bottom w:val="outset" w:color="auto" w:sz="6" w:space="0"/>
              <w:right w:val="outset" w:color="auto" w:sz="6" w:space="0"/>
            </w:tcBorders>
            <w:vAlign w:val="center"/>
          </w:tcPr>
          <w:p w14:paraId="299DB4F2">
            <w:pPr>
              <w:rPr>
                <w:sz w:val="28"/>
                <w:szCs w:val="28"/>
                <w:lang w:val="en-US"/>
              </w:rPr>
            </w:pPr>
            <w:r>
              <w:rPr>
                <w:sz w:val="28"/>
                <w:szCs w:val="28"/>
                <w:lang w:val="en-US"/>
              </w:rPr>
              <w:t>Spectrum</w:t>
            </w:r>
          </w:p>
        </w:tc>
        <w:tc>
          <w:tcPr>
            <w:tcW w:w="821" w:type="dxa"/>
            <w:tcBorders>
              <w:top w:val="outset" w:color="auto" w:sz="6" w:space="0"/>
              <w:left w:val="outset" w:color="auto" w:sz="6" w:space="0"/>
              <w:bottom w:val="outset" w:color="auto" w:sz="6" w:space="0"/>
              <w:right w:val="outset" w:color="auto" w:sz="6" w:space="0"/>
            </w:tcBorders>
            <w:vAlign w:val="center"/>
          </w:tcPr>
          <w:p w14:paraId="4F52286D">
            <w:pPr>
              <w:rPr>
                <w:sz w:val="28"/>
                <w:szCs w:val="28"/>
              </w:rPr>
            </w:pPr>
            <w:r>
              <w:rPr>
                <w:sz w:val="28"/>
                <w:szCs w:val="28"/>
              </w:rPr>
              <w:t>Cr</w:t>
            </w:r>
          </w:p>
        </w:tc>
        <w:tc>
          <w:tcPr>
            <w:tcW w:w="805" w:type="dxa"/>
            <w:tcBorders>
              <w:top w:val="outset" w:color="auto" w:sz="6" w:space="0"/>
              <w:left w:val="outset" w:color="auto" w:sz="6" w:space="0"/>
              <w:bottom w:val="outset" w:color="auto" w:sz="6" w:space="0"/>
              <w:right w:val="outset" w:color="auto" w:sz="6" w:space="0"/>
            </w:tcBorders>
            <w:vAlign w:val="center"/>
          </w:tcPr>
          <w:p w14:paraId="382C4B25">
            <w:pPr>
              <w:rPr>
                <w:sz w:val="28"/>
                <w:szCs w:val="28"/>
              </w:rPr>
            </w:pPr>
            <w:r>
              <w:rPr>
                <w:sz w:val="28"/>
                <w:szCs w:val="28"/>
              </w:rPr>
              <w:t>Cu</w:t>
            </w:r>
          </w:p>
        </w:tc>
      </w:tr>
      <w:tr w14:paraId="05EED47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5" w:hRule="atLeast"/>
          <w:tblCellSpacing w:w="15" w:type="dxa"/>
        </w:trPr>
        <w:tc>
          <w:tcPr>
            <w:tcW w:w="2520" w:type="dxa"/>
            <w:tcBorders>
              <w:top w:val="outset" w:color="auto" w:sz="6" w:space="0"/>
              <w:left w:val="outset" w:color="auto" w:sz="6" w:space="0"/>
              <w:bottom w:val="outset" w:color="auto" w:sz="6" w:space="0"/>
              <w:right w:val="outset" w:color="auto" w:sz="6" w:space="0"/>
            </w:tcBorders>
            <w:vAlign w:val="center"/>
          </w:tcPr>
          <w:p w14:paraId="7E5C290B">
            <w:pPr>
              <w:rPr>
                <w:sz w:val="28"/>
                <w:szCs w:val="28"/>
              </w:rPr>
            </w:pPr>
          </w:p>
        </w:tc>
        <w:tc>
          <w:tcPr>
            <w:tcW w:w="821" w:type="dxa"/>
            <w:vAlign w:val="center"/>
          </w:tcPr>
          <w:p w14:paraId="38B8E4F5">
            <w:pPr>
              <w:rPr>
                <w:sz w:val="28"/>
                <w:szCs w:val="28"/>
              </w:rPr>
            </w:pPr>
          </w:p>
        </w:tc>
        <w:tc>
          <w:tcPr>
            <w:tcW w:w="805" w:type="dxa"/>
            <w:vAlign w:val="center"/>
          </w:tcPr>
          <w:p w14:paraId="4A25B93E">
            <w:pPr>
              <w:rPr>
                <w:sz w:val="28"/>
                <w:szCs w:val="28"/>
              </w:rPr>
            </w:pPr>
          </w:p>
        </w:tc>
      </w:tr>
      <w:tr w14:paraId="6F40F0E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436" w:hRule="atLeast"/>
          <w:tblCellSpacing w:w="15" w:type="dxa"/>
        </w:trPr>
        <w:tc>
          <w:tcPr>
            <w:tcW w:w="2520" w:type="dxa"/>
            <w:tcBorders>
              <w:top w:val="outset" w:color="auto" w:sz="6" w:space="0"/>
              <w:left w:val="outset" w:color="auto" w:sz="6" w:space="0"/>
              <w:bottom w:val="outset" w:color="auto" w:sz="6" w:space="0"/>
              <w:right w:val="outset" w:color="auto" w:sz="6" w:space="0"/>
            </w:tcBorders>
            <w:vAlign w:val="center"/>
          </w:tcPr>
          <w:p w14:paraId="3CE13D6F">
            <w:pPr>
              <w:rPr>
                <w:sz w:val="28"/>
                <w:szCs w:val="28"/>
              </w:rPr>
            </w:pPr>
            <w:r>
              <w:rPr>
                <w:sz w:val="28"/>
                <w:szCs w:val="28"/>
              </w:rPr>
              <w:t>Spectrum 1</w:t>
            </w:r>
          </w:p>
        </w:tc>
        <w:tc>
          <w:tcPr>
            <w:tcW w:w="821" w:type="dxa"/>
            <w:tcBorders>
              <w:top w:val="outset" w:color="auto" w:sz="6" w:space="0"/>
              <w:left w:val="outset" w:color="auto" w:sz="6" w:space="0"/>
              <w:bottom w:val="outset" w:color="auto" w:sz="6" w:space="0"/>
              <w:right w:val="outset" w:color="auto" w:sz="6" w:space="0"/>
            </w:tcBorders>
            <w:vAlign w:val="center"/>
          </w:tcPr>
          <w:p w14:paraId="7CAE89A3">
            <w:pPr>
              <w:rPr>
                <w:sz w:val="28"/>
                <w:szCs w:val="28"/>
                <w:lang w:val="en-US"/>
              </w:rPr>
            </w:pPr>
            <w:r>
              <w:rPr>
                <w:sz w:val="28"/>
                <w:szCs w:val="28"/>
              </w:rPr>
              <w:t>5</w:t>
            </w:r>
            <w:r>
              <w:rPr>
                <w:sz w:val="28"/>
                <w:szCs w:val="28"/>
                <w:lang w:val="en-US"/>
              </w:rPr>
              <w:t>6.2</w:t>
            </w:r>
          </w:p>
        </w:tc>
        <w:tc>
          <w:tcPr>
            <w:tcW w:w="805" w:type="dxa"/>
            <w:tcBorders>
              <w:top w:val="outset" w:color="auto" w:sz="6" w:space="0"/>
              <w:left w:val="outset" w:color="auto" w:sz="6" w:space="0"/>
              <w:bottom w:val="outset" w:color="auto" w:sz="6" w:space="0"/>
              <w:right w:val="outset" w:color="auto" w:sz="6" w:space="0"/>
            </w:tcBorders>
            <w:vAlign w:val="center"/>
          </w:tcPr>
          <w:p w14:paraId="3854AF59">
            <w:pPr>
              <w:rPr>
                <w:sz w:val="28"/>
                <w:szCs w:val="28"/>
                <w:lang w:val="en-US"/>
              </w:rPr>
            </w:pPr>
            <w:r>
              <w:rPr>
                <w:sz w:val="28"/>
                <w:szCs w:val="28"/>
              </w:rPr>
              <w:t>43.8</w:t>
            </w:r>
          </w:p>
        </w:tc>
      </w:tr>
      <w:tr w14:paraId="46C07B5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436" w:hRule="atLeast"/>
          <w:tblCellSpacing w:w="15" w:type="dxa"/>
        </w:trPr>
        <w:tc>
          <w:tcPr>
            <w:tcW w:w="2520" w:type="dxa"/>
            <w:tcBorders>
              <w:top w:val="outset" w:color="auto" w:sz="6" w:space="0"/>
              <w:left w:val="outset" w:color="auto" w:sz="6" w:space="0"/>
              <w:bottom w:val="outset" w:color="auto" w:sz="6" w:space="0"/>
              <w:right w:val="outset" w:color="auto" w:sz="6" w:space="0"/>
            </w:tcBorders>
            <w:vAlign w:val="center"/>
          </w:tcPr>
          <w:p w14:paraId="5CBA9A33">
            <w:pPr>
              <w:rPr>
                <w:sz w:val="28"/>
                <w:szCs w:val="28"/>
              </w:rPr>
            </w:pPr>
            <w:r>
              <w:rPr>
                <w:sz w:val="28"/>
                <w:szCs w:val="28"/>
              </w:rPr>
              <w:t>Spectrum 2</w:t>
            </w:r>
          </w:p>
        </w:tc>
        <w:tc>
          <w:tcPr>
            <w:tcW w:w="821" w:type="dxa"/>
            <w:tcBorders>
              <w:top w:val="outset" w:color="auto" w:sz="6" w:space="0"/>
              <w:left w:val="outset" w:color="auto" w:sz="6" w:space="0"/>
              <w:bottom w:val="outset" w:color="auto" w:sz="6" w:space="0"/>
              <w:right w:val="outset" w:color="auto" w:sz="6" w:space="0"/>
            </w:tcBorders>
            <w:vAlign w:val="center"/>
          </w:tcPr>
          <w:p w14:paraId="2D5B9FBD">
            <w:pPr>
              <w:rPr>
                <w:sz w:val="28"/>
                <w:szCs w:val="28"/>
                <w:lang w:val="en-US"/>
              </w:rPr>
            </w:pPr>
            <w:r>
              <w:rPr>
                <w:sz w:val="28"/>
                <w:szCs w:val="28"/>
              </w:rPr>
              <w:t>5</w:t>
            </w:r>
            <w:r>
              <w:rPr>
                <w:sz w:val="28"/>
                <w:szCs w:val="28"/>
                <w:lang w:val="en-US"/>
              </w:rPr>
              <w:t>6.6</w:t>
            </w:r>
          </w:p>
        </w:tc>
        <w:tc>
          <w:tcPr>
            <w:tcW w:w="805" w:type="dxa"/>
            <w:tcBorders>
              <w:top w:val="outset" w:color="auto" w:sz="6" w:space="0"/>
              <w:left w:val="outset" w:color="auto" w:sz="6" w:space="0"/>
              <w:bottom w:val="outset" w:color="auto" w:sz="6" w:space="0"/>
              <w:right w:val="outset" w:color="auto" w:sz="6" w:space="0"/>
            </w:tcBorders>
            <w:vAlign w:val="center"/>
          </w:tcPr>
          <w:p w14:paraId="432A9172">
            <w:pPr>
              <w:rPr>
                <w:sz w:val="28"/>
                <w:szCs w:val="28"/>
                <w:lang w:val="en-US"/>
              </w:rPr>
            </w:pPr>
            <w:r>
              <w:rPr>
                <w:sz w:val="28"/>
                <w:szCs w:val="28"/>
              </w:rPr>
              <w:t>43.4</w:t>
            </w:r>
          </w:p>
        </w:tc>
      </w:tr>
      <w:tr w14:paraId="5664606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416" w:hRule="atLeast"/>
          <w:tblCellSpacing w:w="15" w:type="dxa"/>
        </w:trPr>
        <w:tc>
          <w:tcPr>
            <w:tcW w:w="2520" w:type="dxa"/>
            <w:tcBorders>
              <w:top w:val="outset" w:color="auto" w:sz="6" w:space="0"/>
              <w:left w:val="outset" w:color="auto" w:sz="6" w:space="0"/>
              <w:bottom w:val="outset" w:color="auto" w:sz="6" w:space="0"/>
              <w:right w:val="outset" w:color="auto" w:sz="6" w:space="0"/>
            </w:tcBorders>
            <w:vAlign w:val="center"/>
          </w:tcPr>
          <w:p w14:paraId="11AC9BF0">
            <w:pPr>
              <w:rPr>
                <w:sz w:val="28"/>
                <w:szCs w:val="28"/>
              </w:rPr>
            </w:pPr>
            <w:r>
              <w:rPr>
                <w:sz w:val="28"/>
                <w:szCs w:val="28"/>
              </w:rPr>
              <w:t>Spectrum 3</w:t>
            </w:r>
          </w:p>
        </w:tc>
        <w:tc>
          <w:tcPr>
            <w:tcW w:w="821" w:type="dxa"/>
            <w:tcBorders>
              <w:top w:val="outset" w:color="auto" w:sz="6" w:space="0"/>
              <w:left w:val="outset" w:color="auto" w:sz="6" w:space="0"/>
              <w:bottom w:val="outset" w:color="auto" w:sz="6" w:space="0"/>
              <w:right w:val="outset" w:color="auto" w:sz="6" w:space="0"/>
            </w:tcBorders>
            <w:vAlign w:val="center"/>
          </w:tcPr>
          <w:p w14:paraId="395AEBF7">
            <w:pPr>
              <w:rPr>
                <w:sz w:val="28"/>
                <w:szCs w:val="28"/>
                <w:lang w:val="en-US"/>
              </w:rPr>
            </w:pPr>
            <w:r>
              <w:rPr>
                <w:sz w:val="28"/>
                <w:szCs w:val="28"/>
              </w:rPr>
              <w:t>5</w:t>
            </w:r>
            <w:r>
              <w:rPr>
                <w:sz w:val="28"/>
                <w:szCs w:val="28"/>
                <w:lang w:val="en-US"/>
              </w:rPr>
              <w:t>8.4</w:t>
            </w:r>
          </w:p>
        </w:tc>
        <w:tc>
          <w:tcPr>
            <w:tcW w:w="805" w:type="dxa"/>
            <w:tcBorders>
              <w:top w:val="outset" w:color="auto" w:sz="6" w:space="0"/>
              <w:left w:val="outset" w:color="auto" w:sz="6" w:space="0"/>
              <w:bottom w:val="outset" w:color="auto" w:sz="6" w:space="0"/>
              <w:right w:val="outset" w:color="auto" w:sz="6" w:space="0"/>
            </w:tcBorders>
            <w:vAlign w:val="center"/>
          </w:tcPr>
          <w:p w14:paraId="07B5ACFD">
            <w:pPr>
              <w:rPr>
                <w:sz w:val="28"/>
                <w:szCs w:val="28"/>
                <w:lang w:val="en-US"/>
              </w:rPr>
            </w:pPr>
            <w:r>
              <w:rPr>
                <w:sz w:val="28"/>
                <w:szCs w:val="28"/>
              </w:rPr>
              <w:t>41.6</w:t>
            </w:r>
          </w:p>
        </w:tc>
      </w:tr>
      <w:tr w14:paraId="54EC17C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436" w:hRule="atLeast"/>
          <w:tblCellSpacing w:w="15" w:type="dxa"/>
        </w:trPr>
        <w:tc>
          <w:tcPr>
            <w:tcW w:w="2520" w:type="dxa"/>
            <w:tcBorders>
              <w:top w:val="outset" w:color="auto" w:sz="6" w:space="0"/>
              <w:left w:val="outset" w:color="auto" w:sz="6" w:space="0"/>
              <w:bottom w:val="outset" w:color="auto" w:sz="6" w:space="0"/>
              <w:right w:val="outset" w:color="auto" w:sz="6" w:space="0"/>
            </w:tcBorders>
            <w:vAlign w:val="center"/>
          </w:tcPr>
          <w:p w14:paraId="6FC42EF2">
            <w:pPr>
              <w:rPr>
                <w:sz w:val="28"/>
                <w:szCs w:val="28"/>
              </w:rPr>
            </w:pPr>
            <w:r>
              <w:rPr>
                <w:sz w:val="28"/>
                <w:szCs w:val="28"/>
              </w:rPr>
              <w:t>Spectrum 4</w:t>
            </w:r>
          </w:p>
        </w:tc>
        <w:tc>
          <w:tcPr>
            <w:tcW w:w="821" w:type="dxa"/>
            <w:tcBorders>
              <w:top w:val="outset" w:color="auto" w:sz="6" w:space="0"/>
              <w:left w:val="outset" w:color="auto" w:sz="6" w:space="0"/>
              <w:bottom w:val="outset" w:color="auto" w:sz="6" w:space="0"/>
              <w:right w:val="outset" w:color="auto" w:sz="6" w:space="0"/>
            </w:tcBorders>
            <w:vAlign w:val="center"/>
          </w:tcPr>
          <w:p w14:paraId="500C1D8A">
            <w:pPr>
              <w:rPr>
                <w:sz w:val="28"/>
                <w:szCs w:val="28"/>
                <w:lang w:val="en-US"/>
              </w:rPr>
            </w:pPr>
            <w:r>
              <w:rPr>
                <w:sz w:val="28"/>
                <w:szCs w:val="28"/>
              </w:rPr>
              <w:t>5</w:t>
            </w:r>
            <w:r>
              <w:rPr>
                <w:sz w:val="28"/>
                <w:szCs w:val="28"/>
                <w:lang w:val="en-US"/>
              </w:rPr>
              <w:t>7.1</w:t>
            </w:r>
          </w:p>
        </w:tc>
        <w:tc>
          <w:tcPr>
            <w:tcW w:w="805" w:type="dxa"/>
            <w:tcBorders>
              <w:top w:val="outset" w:color="auto" w:sz="6" w:space="0"/>
              <w:left w:val="outset" w:color="auto" w:sz="6" w:space="0"/>
              <w:bottom w:val="outset" w:color="auto" w:sz="6" w:space="0"/>
              <w:right w:val="outset" w:color="auto" w:sz="6" w:space="0"/>
            </w:tcBorders>
            <w:vAlign w:val="center"/>
          </w:tcPr>
          <w:p w14:paraId="29B39CA0">
            <w:pPr>
              <w:rPr>
                <w:sz w:val="28"/>
                <w:szCs w:val="28"/>
                <w:lang w:val="en-US"/>
              </w:rPr>
            </w:pPr>
            <w:r>
              <w:rPr>
                <w:sz w:val="28"/>
                <w:szCs w:val="28"/>
              </w:rPr>
              <w:t>42.</w:t>
            </w:r>
            <w:r>
              <w:rPr>
                <w:sz w:val="28"/>
                <w:szCs w:val="28"/>
                <w:lang w:val="en-US"/>
              </w:rPr>
              <w:t>9</w:t>
            </w:r>
          </w:p>
        </w:tc>
      </w:tr>
      <w:tr w14:paraId="77F0F93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416" w:hRule="atLeast"/>
          <w:tblCellSpacing w:w="15" w:type="dxa"/>
        </w:trPr>
        <w:tc>
          <w:tcPr>
            <w:tcW w:w="2520" w:type="dxa"/>
            <w:tcBorders>
              <w:top w:val="outset" w:color="auto" w:sz="6" w:space="0"/>
              <w:left w:val="outset" w:color="auto" w:sz="6" w:space="0"/>
              <w:bottom w:val="outset" w:color="auto" w:sz="6" w:space="0"/>
              <w:right w:val="outset" w:color="auto" w:sz="6" w:space="0"/>
            </w:tcBorders>
            <w:vAlign w:val="center"/>
          </w:tcPr>
          <w:p w14:paraId="43883DFF">
            <w:pPr>
              <w:rPr>
                <w:sz w:val="28"/>
                <w:szCs w:val="28"/>
              </w:rPr>
            </w:pPr>
          </w:p>
        </w:tc>
        <w:tc>
          <w:tcPr>
            <w:tcW w:w="821" w:type="dxa"/>
            <w:vAlign w:val="center"/>
          </w:tcPr>
          <w:p w14:paraId="7409DE8C">
            <w:pPr>
              <w:rPr>
                <w:sz w:val="28"/>
                <w:szCs w:val="28"/>
                <w:lang w:val="en-US"/>
              </w:rPr>
            </w:pPr>
          </w:p>
        </w:tc>
        <w:tc>
          <w:tcPr>
            <w:tcW w:w="805" w:type="dxa"/>
            <w:vAlign w:val="center"/>
          </w:tcPr>
          <w:p w14:paraId="0414EEBD">
            <w:pPr>
              <w:rPr>
                <w:sz w:val="28"/>
                <w:szCs w:val="28"/>
                <w:lang w:val="en-US"/>
              </w:rPr>
            </w:pPr>
          </w:p>
        </w:tc>
      </w:tr>
      <w:tr w14:paraId="4BC8B18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86" w:hRule="atLeast"/>
          <w:tblCellSpacing w:w="15" w:type="dxa"/>
        </w:trPr>
        <w:tc>
          <w:tcPr>
            <w:tcW w:w="2520" w:type="dxa"/>
            <w:tcBorders>
              <w:top w:val="outset" w:color="auto" w:sz="6" w:space="0"/>
              <w:left w:val="outset" w:color="auto" w:sz="6" w:space="0"/>
              <w:bottom w:val="outset" w:color="auto" w:sz="6" w:space="0"/>
              <w:right w:val="outset" w:color="auto" w:sz="6" w:space="0"/>
            </w:tcBorders>
            <w:vAlign w:val="center"/>
          </w:tcPr>
          <w:p w14:paraId="7212A4AA">
            <w:pPr>
              <w:rPr>
                <w:sz w:val="28"/>
                <w:szCs w:val="28"/>
              </w:rPr>
            </w:pPr>
            <w:r>
              <w:rPr>
                <w:sz w:val="28"/>
                <w:szCs w:val="28"/>
              </w:rPr>
              <w:t>Средн. значение</w:t>
            </w:r>
          </w:p>
        </w:tc>
        <w:tc>
          <w:tcPr>
            <w:tcW w:w="821" w:type="dxa"/>
            <w:tcBorders>
              <w:top w:val="outset" w:color="auto" w:sz="6" w:space="0"/>
              <w:left w:val="outset" w:color="auto" w:sz="6" w:space="0"/>
              <w:bottom w:val="outset" w:color="auto" w:sz="6" w:space="0"/>
              <w:right w:val="outset" w:color="auto" w:sz="6" w:space="0"/>
            </w:tcBorders>
            <w:vAlign w:val="center"/>
          </w:tcPr>
          <w:p w14:paraId="0B563E03">
            <w:pPr>
              <w:rPr>
                <w:sz w:val="28"/>
                <w:szCs w:val="28"/>
                <w:lang w:val="en-US"/>
              </w:rPr>
            </w:pPr>
            <w:r>
              <w:rPr>
                <w:sz w:val="28"/>
                <w:szCs w:val="28"/>
              </w:rPr>
              <w:t>5</w:t>
            </w:r>
            <w:r>
              <w:rPr>
                <w:sz w:val="28"/>
                <w:szCs w:val="28"/>
                <w:lang w:val="en-US"/>
              </w:rPr>
              <w:t>7.0</w:t>
            </w:r>
          </w:p>
        </w:tc>
        <w:tc>
          <w:tcPr>
            <w:tcW w:w="805" w:type="dxa"/>
            <w:tcBorders>
              <w:top w:val="outset" w:color="auto" w:sz="6" w:space="0"/>
              <w:left w:val="outset" w:color="auto" w:sz="6" w:space="0"/>
              <w:bottom w:val="outset" w:color="auto" w:sz="6" w:space="0"/>
              <w:right w:val="outset" w:color="auto" w:sz="6" w:space="0"/>
            </w:tcBorders>
            <w:vAlign w:val="center"/>
          </w:tcPr>
          <w:p w14:paraId="0E8643FB">
            <w:pPr>
              <w:rPr>
                <w:sz w:val="28"/>
                <w:szCs w:val="28"/>
                <w:lang w:val="en-US"/>
              </w:rPr>
            </w:pPr>
            <w:r>
              <w:rPr>
                <w:sz w:val="28"/>
                <w:szCs w:val="28"/>
              </w:rPr>
              <w:t>43.0</w:t>
            </w:r>
          </w:p>
        </w:tc>
      </w:tr>
      <w:tr w14:paraId="4A728C1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20" w:hRule="atLeast"/>
          <w:tblCellSpacing w:w="15" w:type="dxa"/>
        </w:trPr>
        <w:tc>
          <w:tcPr>
            <w:tcW w:w="2520" w:type="dxa"/>
            <w:tcBorders>
              <w:top w:val="outset" w:color="auto" w:sz="6" w:space="0"/>
              <w:left w:val="outset" w:color="auto" w:sz="6" w:space="0"/>
              <w:bottom w:val="outset" w:color="auto" w:sz="6" w:space="0"/>
              <w:right w:val="outset" w:color="auto" w:sz="6" w:space="0"/>
            </w:tcBorders>
            <w:vAlign w:val="center"/>
          </w:tcPr>
          <w:p w14:paraId="21C93C8D">
            <w:pPr>
              <w:rPr>
                <w:sz w:val="28"/>
                <w:szCs w:val="28"/>
              </w:rPr>
            </w:pPr>
            <w:r>
              <w:rPr>
                <w:sz w:val="28"/>
                <w:szCs w:val="28"/>
              </w:rPr>
              <w:t>Std. deviation</w:t>
            </w:r>
          </w:p>
        </w:tc>
        <w:tc>
          <w:tcPr>
            <w:tcW w:w="821" w:type="dxa"/>
            <w:tcBorders>
              <w:top w:val="outset" w:color="auto" w:sz="6" w:space="0"/>
              <w:left w:val="outset" w:color="auto" w:sz="6" w:space="0"/>
              <w:bottom w:val="outset" w:color="auto" w:sz="6" w:space="0"/>
              <w:right w:val="outset" w:color="auto" w:sz="6" w:space="0"/>
            </w:tcBorders>
            <w:vAlign w:val="center"/>
          </w:tcPr>
          <w:p w14:paraId="730A9E1B">
            <w:pPr>
              <w:rPr>
                <w:sz w:val="28"/>
                <w:szCs w:val="28"/>
              </w:rPr>
            </w:pPr>
            <w:r>
              <w:rPr>
                <w:sz w:val="28"/>
                <w:szCs w:val="28"/>
              </w:rPr>
              <w:t>4.</w:t>
            </w:r>
            <w:r>
              <w:rPr>
                <w:sz w:val="28"/>
                <w:szCs w:val="28"/>
                <w:lang w:val="en-US"/>
              </w:rPr>
              <w:t>1</w:t>
            </w:r>
          </w:p>
        </w:tc>
        <w:tc>
          <w:tcPr>
            <w:tcW w:w="805" w:type="dxa"/>
            <w:tcBorders>
              <w:top w:val="outset" w:color="auto" w:sz="6" w:space="0"/>
              <w:left w:val="outset" w:color="auto" w:sz="6" w:space="0"/>
              <w:bottom w:val="outset" w:color="auto" w:sz="6" w:space="0"/>
              <w:right w:val="outset" w:color="auto" w:sz="6" w:space="0"/>
            </w:tcBorders>
            <w:vAlign w:val="center"/>
          </w:tcPr>
          <w:p w14:paraId="6E8F85B0">
            <w:pPr>
              <w:rPr>
                <w:sz w:val="28"/>
                <w:szCs w:val="28"/>
              </w:rPr>
            </w:pPr>
            <w:r>
              <w:rPr>
                <w:sz w:val="28"/>
                <w:szCs w:val="28"/>
              </w:rPr>
              <w:t>4.0</w:t>
            </w:r>
          </w:p>
        </w:tc>
      </w:tr>
    </w:tbl>
    <w:p w14:paraId="640344CE">
      <w:pPr>
        <w:spacing w:before="240"/>
        <w:rPr>
          <w:color w:val="000000" w:themeColor="text1"/>
          <w:lang w:val="en-US"/>
          <w14:textFill>
            <w14:solidFill>
              <w14:schemeClr w14:val="tx1"/>
            </w14:solidFill>
          </w14:textFill>
        </w:rPr>
      </w:pPr>
    </w:p>
    <w:p w14:paraId="6219761F">
      <w:pPr>
        <w:spacing w:before="240"/>
        <w:jc w:val="center"/>
        <w:rPr>
          <w:color w:val="000000" w:themeColor="text1"/>
          <w:lang w:val="en-US"/>
          <w14:textFill>
            <w14:solidFill>
              <w14:schemeClr w14:val="tx1"/>
            </w14:solidFill>
          </w14:textFill>
        </w:rPr>
      </w:pPr>
      <w:r>
        <w:drawing>
          <wp:inline distT="0" distB="0" distL="0" distR="0">
            <wp:extent cx="3107055" cy="243967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05919" cy="2438632"/>
                    </a:xfrm>
                    <a:prstGeom prst="rect">
                      <a:avLst/>
                    </a:prstGeom>
                  </pic:spPr>
                </pic:pic>
              </a:graphicData>
            </a:graphic>
          </wp:inline>
        </w:drawing>
      </w:r>
    </w:p>
    <w:p w14:paraId="07EE7B79">
      <w:pPr>
        <w:spacing w:before="240" w:after="360"/>
        <w:jc w:val="center"/>
        <w:rPr>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t>Рисунок 8.</w:t>
      </w:r>
      <w:r>
        <w:rPr>
          <w:color w:val="000000" w:themeColor="text1"/>
          <w:sz w:val="28"/>
          <w:szCs w:val="28"/>
          <w14:textFill>
            <w14:solidFill>
              <w14:schemeClr w14:val="tx1"/>
            </w14:solidFill>
          </w14:textFill>
        </w:rPr>
        <w:t xml:space="preserve"> ЛРСА, микрофотография образца хрома, осажденного на медную пластину.</w:t>
      </w:r>
    </w:p>
    <w:p w14:paraId="5D09DFA6">
      <w:pPr>
        <w:spacing w:before="240"/>
        <w:jc w:val="center"/>
        <w:rPr>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t>Таблица 8</w:t>
      </w:r>
      <w:r>
        <w:rPr>
          <w:color w:val="000000" w:themeColor="text1"/>
          <w:sz w:val="28"/>
          <w:szCs w:val="28"/>
          <w14:textFill>
            <w14:solidFill>
              <w14:schemeClr w14:val="tx1"/>
            </w14:solidFill>
          </w14:textFill>
        </w:rPr>
        <w:t xml:space="preserve">. Элементный состав по данным ЛРСА осаждённого хрома на медь при плотности тока       </w:t>
      </w:r>
      <w:r>
        <w:rPr>
          <w:i/>
          <w:color w:val="000000" w:themeColor="text1"/>
          <w:sz w:val="28"/>
          <w:szCs w:val="28"/>
          <w14:textFill>
            <w14:solidFill>
              <w14:schemeClr w14:val="tx1"/>
            </w14:solidFill>
          </w14:textFill>
        </w:rPr>
        <w:t>– 0.1 А/см</w:t>
      </w:r>
      <w:r>
        <w:rPr>
          <w:i/>
          <w:color w:val="000000" w:themeColor="text1"/>
          <w:sz w:val="28"/>
          <w:szCs w:val="28"/>
          <w:vertAlign w:val="superscript"/>
          <w14:textFill>
            <w14:solidFill>
              <w14:schemeClr w14:val="tx1"/>
            </w14:solidFill>
          </w14:textFill>
        </w:rPr>
        <w:t>2</w:t>
      </w:r>
      <w:r>
        <w:rPr>
          <w:color w:val="000000" w:themeColor="text1"/>
          <w:sz w:val="28"/>
          <w:szCs w:val="28"/>
          <w14:textFill>
            <w14:solidFill>
              <w14:schemeClr w14:val="tx1"/>
            </w14:solidFill>
          </w14:textFill>
        </w:rPr>
        <w:t>.</w:t>
      </w:r>
    </w:p>
    <w:tbl>
      <w:tblPr>
        <w:tblStyle w:val="6"/>
        <w:tblW w:w="5730" w:type="dxa"/>
        <w:tblCellSpacing w:w="15" w:type="dxa"/>
        <w:tblInd w:w="243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2612"/>
        <w:gridCol w:w="1417"/>
        <w:gridCol w:w="851"/>
        <w:gridCol w:w="850"/>
      </w:tblGrid>
      <w:tr w14:paraId="238D544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288" w:hRule="atLeast"/>
          <w:tblCellSpacing w:w="15" w:type="dxa"/>
        </w:trPr>
        <w:tc>
          <w:tcPr>
            <w:tcW w:w="2567" w:type="dxa"/>
            <w:tcBorders>
              <w:top w:val="outset" w:color="auto" w:sz="6" w:space="0"/>
              <w:left w:val="outset" w:color="auto" w:sz="6" w:space="0"/>
              <w:bottom w:val="outset" w:color="auto" w:sz="6" w:space="0"/>
              <w:right w:val="outset" w:color="auto" w:sz="6" w:space="0"/>
            </w:tcBorders>
            <w:vAlign w:val="center"/>
          </w:tcPr>
          <w:p w14:paraId="2045E462">
            <w:pPr>
              <w:rPr>
                <w:sz w:val="28"/>
                <w:szCs w:val="28"/>
              </w:rPr>
            </w:pPr>
            <w:r>
              <w:rPr>
                <w:sz w:val="28"/>
                <w:szCs w:val="28"/>
              </w:rPr>
              <w:t>Spectrum</w:t>
            </w:r>
          </w:p>
        </w:tc>
        <w:tc>
          <w:tcPr>
            <w:tcW w:w="1387" w:type="dxa"/>
            <w:tcBorders>
              <w:top w:val="outset" w:color="auto" w:sz="6" w:space="0"/>
              <w:left w:val="outset" w:color="auto" w:sz="6" w:space="0"/>
              <w:bottom w:val="outset" w:color="auto" w:sz="6" w:space="0"/>
              <w:right w:val="outset" w:color="auto" w:sz="6" w:space="0"/>
            </w:tcBorders>
            <w:vAlign w:val="center"/>
          </w:tcPr>
          <w:p w14:paraId="0FC18C8C">
            <w:pPr>
              <w:rPr>
                <w:sz w:val="28"/>
                <w:szCs w:val="28"/>
              </w:rPr>
            </w:pPr>
            <w:r>
              <w:rPr>
                <w:sz w:val="28"/>
                <w:szCs w:val="28"/>
              </w:rPr>
              <w:t>In stats.</w:t>
            </w:r>
          </w:p>
        </w:tc>
        <w:tc>
          <w:tcPr>
            <w:tcW w:w="821" w:type="dxa"/>
            <w:tcBorders>
              <w:top w:val="outset" w:color="auto" w:sz="6" w:space="0"/>
              <w:left w:val="outset" w:color="auto" w:sz="6" w:space="0"/>
              <w:bottom w:val="outset" w:color="auto" w:sz="6" w:space="0"/>
              <w:right w:val="outset" w:color="auto" w:sz="6" w:space="0"/>
            </w:tcBorders>
            <w:vAlign w:val="center"/>
          </w:tcPr>
          <w:p w14:paraId="68705E70">
            <w:pPr>
              <w:rPr>
                <w:sz w:val="28"/>
                <w:szCs w:val="28"/>
              </w:rPr>
            </w:pPr>
            <w:r>
              <w:rPr>
                <w:sz w:val="28"/>
                <w:szCs w:val="28"/>
              </w:rPr>
              <w:t>Cr</w:t>
            </w:r>
          </w:p>
        </w:tc>
        <w:tc>
          <w:tcPr>
            <w:tcW w:w="805" w:type="dxa"/>
            <w:tcBorders>
              <w:top w:val="outset" w:color="auto" w:sz="6" w:space="0"/>
              <w:left w:val="outset" w:color="auto" w:sz="6" w:space="0"/>
              <w:bottom w:val="outset" w:color="auto" w:sz="6" w:space="0"/>
              <w:right w:val="outset" w:color="auto" w:sz="6" w:space="0"/>
            </w:tcBorders>
            <w:vAlign w:val="center"/>
          </w:tcPr>
          <w:p w14:paraId="2CAD8524">
            <w:pPr>
              <w:rPr>
                <w:sz w:val="28"/>
                <w:szCs w:val="28"/>
              </w:rPr>
            </w:pPr>
            <w:r>
              <w:rPr>
                <w:sz w:val="28"/>
                <w:szCs w:val="28"/>
              </w:rPr>
              <w:t>Cu</w:t>
            </w:r>
          </w:p>
        </w:tc>
      </w:tr>
      <w:tr w14:paraId="48CFD88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9" w:hRule="atLeast"/>
          <w:tblCellSpacing w:w="15" w:type="dxa"/>
        </w:trPr>
        <w:tc>
          <w:tcPr>
            <w:tcW w:w="2567" w:type="dxa"/>
            <w:tcBorders>
              <w:top w:val="outset" w:color="auto" w:sz="6" w:space="0"/>
              <w:left w:val="outset" w:color="auto" w:sz="6" w:space="0"/>
              <w:bottom w:val="outset" w:color="auto" w:sz="6" w:space="0"/>
              <w:right w:val="outset" w:color="auto" w:sz="6" w:space="0"/>
            </w:tcBorders>
            <w:vAlign w:val="center"/>
          </w:tcPr>
          <w:p w14:paraId="3984B204">
            <w:pPr>
              <w:rPr>
                <w:sz w:val="28"/>
                <w:szCs w:val="28"/>
              </w:rPr>
            </w:pPr>
          </w:p>
        </w:tc>
        <w:tc>
          <w:tcPr>
            <w:tcW w:w="1387" w:type="dxa"/>
            <w:tcBorders>
              <w:top w:val="outset" w:color="auto" w:sz="6" w:space="0"/>
              <w:left w:val="outset" w:color="auto" w:sz="6" w:space="0"/>
              <w:bottom w:val="outset" w:color="auto" w:sz="6" w:space="0"/>
              <w:right w:val="outset" w:color="auto" w:sz="6" w:space="0"/>
            </w:tcBorders>
            <w:vAlign w:val="center"/>
          </w:tcPr>
          <w:p w14:paraId="5916B92E">
            <w:pPr>
              <w:rPr>
                <w:sz w:val="28"/>
                <w:szCs w:val="28"/>
              </w:rPr>
            </w:pPr>
          </w:p>
        </w:tc>
        <w:tc>
          <w:tcPr>
            <w:tcW w:w="821" w:type="dxa"/>
            <w:vAlign w:val="center"/>
          </w:tcPr>
          <w:p w14:paraId="7C8D50DF">
            <w:pPr>
              <w:rPr>
                <w:sz w:val="28"/>
                <w:szCs w:val="28"/>
              </w:rPr>
            </w:pPr>
          </w:p>
        </w:tc>
        <w:tc>
          <w:tcPr>
            <w:tcW w:w="805" w:type="dxa"/>
            <w:vAlign w:val="center"/>
          </w:tcPr>
          <w:p w14:paraId="1E78C03C">
            <w:pPr>
              <w:rPr>
                <w:sz w:val="28"/>
                <w:szCs w:val="28"/>
              </w:rPr>
            </w:pPr>
          </w:p>
        </w:tc>
      </w:tr>
      <w:tr w14:paraId="2DAC03F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288" w:hRule="atLeast"/>
          <w:tblCellSpacing w:w="15" w:type="dxa"/>
        </w:trPr>
        <w:tc>
          <w:tcPr>
            <w:tcW w:w="2567" w:type="dxa"/>
            <w:tcBorders>
              <w:top w:val="outset" w:color="auto" w:sz="6" w:space="0"/>
              <w:left w:val="outset" w:color="auto" w:sz="6" w:space="0"/>
              <w:bottom w:val="outset" w:color="auto" w:sz="6" w:space="0"/>
              <w:right w:val="outset" w:color="auto" w:sz="6" w:space="0"/>
            </w:tcBorders>
            <w:vAlign w:val="center"/>
          </w:tcPr>
          <w:p w14:paraId="7DF5CEB3">
            <w:pPr>
              <w:rPr>
                <w:sz w:val="28"/>
                <w:szCs w:val="28"/>
              </w:rPr>
            </w:pPr>
            <w:r>
              <w:rPr>
                <w:sz w:val="28"/>
                <w:szCs w:val="28"/>
              </w:rPr>
              <w:t>Spectrum 1</w:t>
            </w:r>
          </w:p>
        </w:tc>
        <w:tc>
          <w:tcPr>
            <w:tcW w:w="1387" w:type="dxa"/>
            <w:tcBorders>
              <w:top w:val="outset" w:color="auto" w:sz="6" w:space="0"/>
              <w:left w:val="outset" w:color="auto" w:sz="6" w:space="0"/>
              <w:bottom w:val="outset" w:color="auto" w:sz="6" w:space="0"/>
              <w:right w:val="outset" w:color="auto" w:sz="6" w:space="0"/>
            </w:tcBorders>
            <w:vAlign w:val="center"/>
          </w:tcPr>
          <w:p w14:paraId="1BD78C76">
            <w:pPr>
              <w:rPr>
                <w:sz w:val="28"/>
                <w:szCs w:val="28"/>
              </w:rPr>
            </w:pPr>
            <w:r>
              <w:rPr>
                <w:sz w:val="28"/>
                <w:szCs w:val="28"/>
              </w:rPr>
              <w:t>Да</w:t>
            </w:r>
          </w:p>
        </w:tc>
        <w:tc>
          <w:tcPr>
            <w:tcW w:w="821" w:type="dxa"/>
            <w:tcBorders>
              <w:top w:val="outset" w:color="auto" w:sz="6" w:space="0"/>
              <w:left w:val="outset" w:color="auto" w:sz="6" w:space="0"/>
              <w:bottom w:val="outset" w:color="auto" w:sz="6" w:space="0"/>
              <w:right w:val="outset" w:color="auto" w:sz="6" w:space="0"/>
            </w:tcBorders>
            <w:vAlign w:val="center"/>
          </w:tcPr>
          <w:p w14:paraId="601D2F47">
            <w:pPr>
              <w:rPr>
                <w:sz w:val="28"/>
                <w:szCs w:val="28"/>
              </w:rPr>
            </w:pPr>
            <w:r>
              <w:rPr>
                <w:sz w:val="28"/>
                <w:szCs w:val="28"/>
              </w:rPr>
              <w:t>28.5</w:t>
            </w:r>
          </w:p>
        </w:tc>
        <w:tc>
          <w:tcPr>
            <w:tcW w:w="805" w:type="dxa"/>
            <w:tcBorders>
              <w:top w:val="outset" w:color="auto" w:sz="6" w:space="0"/>
              <w:left w:val="outset" w:color="auto" w:sz="6" w:space="0"/>
              <w:bottom w:val="outset" w:color="auto" w:sz="6" w:space="0"/>
              <w:right w:val="outset" w:color="auto" w:sz="6" w:space="0"/>
            </w:tcBorders>
            <w:vAlign w:val="center"/>
          </w:tcPr>
          <w:p w14:paraId="2C054193">
            <w:pPr>
              <w:rPr>
                <w:sz w:val="28"/>
                <w:szCs w:val="28"/>
              </w:rPr>
            </w:pPr>
            <w:r>
              <w:rPr>
                <w:sz w:val="28"/>
                <w:szCs w:val="28"/>
              </w:rPr>
              <w:t>71.5</w:t>
            </w:r>
          </w:p>
        </w:tc>
      </w:tr>
      <w:tr w14:paraId="39F177B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297" w:hRule="atLeast"/>
          <w:tblCellSpacing w:w="15" w:type="dxa"/>
        </w:trPr>
        <w:tc>
          <w:tcPr>
            <w:tcW w:w="2567" w:type="dxa"/>
            <w:tcBorders>
              <w:top w:val="outset" w:color="auto" w:sz="6" w:space="0"/>
              <w:left w:val="outset" w:color="auto" w:sz="6" w:space="0"/>
              <w:bottom w:val="outset" w:color="auto" w:sz="6" w:space="0"/>
              <w:right w:val="outset" w:color="auto" w:sz="6" w:space="0"/>
            </w:tcBorders>
            <w:vAlign w:val="center"/>
          </w:tcPr>
          <w:p w14:paraId="6966675B">
            <w:pPr>
              <w:rPr>
                <w:sz w:val="28"/>
                <w:szCs w:val="28"/>
              </w:rPr>
            </w:pPr>
            <w:r>
              <w:rPr>
                <w:sz w:val="28"/>
                <w:szCs w:val="28"/>
              </w:rPr>
              <w:t>Spectrum 2</w:t>
            </w:r>
          </w:p>
        </w:tc>
        <w:tc>
          <w:tcPr>
            <w:tcW w:w="1387" w:type="dxa"/>
            <w:tcBorders>
              <w:top w:val="outset" w:color="auto" w:sz="6" w:space="0"/>
              <w:left w:val="outset" w:color="auto" w:sz="6" w:space="0"/>
              <w:bottom w:val="outset" w:color="auto" w:sz="6" w:space="0"/>
              <w:right w:val="outset" w:color="auto" w:sz="6" w:space="0"/>
            </w:tcBorders>
            <w:vAlign w:val="center"/>
          </w:tcPr>
          <w:p w14:paraId="72680B22">
            <w:pPr>
              <w:rPr>
                <w:sz w:val="28"/>
                <w:szCs w:val="28"/>
              </w:rPr>
            </w:pPr>
            <w:r>
              <w:rPr>
                <w:sz w:val="28"/>
                <w:szCs w:val="28"/>
              </w:rPr>
              <w:t>Да</w:t>
            </w:r>
          </w:p>
        </w:tc>
        <w:tc>
          <w:tcPr>
            <w:tcW w:w="821" w:type="dxa"/>
            <w:tcBorders>
              <w:top w:val="outset" w:color="auto" w:sz="6" w:space="0"/>
              <w:left w:val="outset" w:color="auto" w:sz="6" w:space="0"/>
              <w:bottom w:val="outset" w:color="auto" w:sz="6" w:space="0"/>
              <w:right w:val="outset" w:color="auto" w:sz="6" w:space="0"/>
            </w:tcBorders>
            <w:vAlign w:val="center"/>
          </w:tcPr>
          <w:p w14:paraId="0C542A5F">
            <w:pPr>
              <w:rPr>
                <w:sz w:val="28"/>
                <w:szCs w:val="28"/>
              </w:rPr>
            </w:pPr>
            <w:r>
              <w:rPr>
                <w:sz w:val="28"/>
                <w:szCs w:val="28"/>
              </w:rPr>
              <w:t>29.4</w:t>
            </w:r>
          </w:p>
        </w:tc>
        <w:tc>
          <w:tcPr>
            <w:tcW w:w="805" w:type="dxa"/>
            <w:tcBorders>
              <w:top w:val="outset" w:color="auto" w:sz="6" w:space="0"/>
              <w:left w:val="outset" w:color="auto" w:sz="6" w:space="0"/>
              <w:bottom w:val="outset" w:color="auto" w:sz="6" w:space="0"/>
              <w:right w:val="outset" w:color="auto" w:sz="6" w:space="0"/>
            </w:tcBorders>
            <w:vAlign w:val="center"/>
          </w:tcPr>
          <w:p w14:paraId="35DB5A15">
            <w:pPr>
              <w:rPr>
                <w:sz w:val="28"/>
                <w:szCs w:val="28"/>
              </w:rPr>
            </w:pPr>
            <w:r>
              <w:rPr>
                <w:sz w:val="28"/>
                <w:szCs w:val="28"/>
              </w:rPr>
              <w:t>70.6</w:t>
            </w:r>
          </w:p>
        </w:tc>
      </w:tr>
      <w:tr w14:paraId="4AA9A0F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288" w:hRule="atLeast"/>
          <w:tblCellSpacing w:w="15" w:type="dxa"/>
        </w:trPr>
        <w:tc>
          <w:tcPr>
            <w:tcW w:w="2567" w:type="dxa"/>
            <w:tcBorders>
              <w:top w:val="outset" w:color="auto" w:sz="6" w:space="0"/>
              <w:left w:val="outset" w:color="auto" w:sz="6" w:space="0"/>
              <w:bottom w:val="outset" w:color="auto" w:sz="6" w:space="0"/>
              <w:right w:val="outset" w:color="auto" w:sz="6" w:space="0"/>
            </w:tcBorders>
            <w:vAlign w:val="center"/>
          </w:tcPr>
          <w:p w14:paraId="560F4BF8">
            <w:pPr>
              <w:rPr>
                <w:sz w:val="28"/>
                <w:szCs w:val="28"/>
              </w:rPr>
            </w:pPr>
            <w:r>
              <w:rPr>
                <w:sz w:val="28"/>
                <w:szCs w:val="28"/>
              </w:rPr>
              <w:t>Spectrum 3</w:t>
            </w:r>
          </w:p>
        </w:tc>
        <w:tc>
          <w:tcPr>
            <w:tcW w:w="1387" w:type="dxa"/>
            <w:tcBorders>
              <w:top w:val="outset" w:color="auto" w:sz="6" w:space="0"/>
              <w:left w:val="outset" w:color="auto" w:sz="6" w:space="0"/>
              <w:bottom w:val="outset" w:color="auto" w:sz="6" w:space="0"/>
              <w:right w:val="outset" w:color="auto" w:sz="6" w:space="0"/>
            </w:tcBorders>
            <w:vAlign w:val="center"/>
          </w:tcPr>
          <w:p w14:paraId="18554418">
            <w:pPr>
              <w:rPr>
                <w:sz w:val="28"/>
                <w:szCs w:val="28"/>
              </w:rPr>
            </w:pPr>
            <w:r>
              <w:rPr>
                <w:sz w:val="28"/>
                <w:szCs w:val="28"/>
              </w:rPr>
              <w:t>Да</w:t>
            </w:r>
          </w:p>
        </w:tc>
        <w:tc>
          <w:tcPr>
            <w:tcW w:w="821" w:type="dxa"/>
            <w:tcBorders>
              <w:top w:val="outset" w:color="auto" w:sz="6" w:space="0"/>
              <w:left w:val="outset" w:color="auto" w:sz="6" w:space="0"/>
              <w:bottom w:val="outset" w:color="auto" w:sz="6" w:space="0"/>
              <w:right w:val="outset" w:color="auto" w:sz="6" w:space="0"/>
            </w:tcBorders>
            <w:vAlign w:val="center"/>
          </w:tcPr>
          <w:p w14:paraId="4B4201E7">
            <w:pPr>
              <w:rPr>
                <w:sz w:val="28"/>
                <w:szCs w:val="28"/>
              </w:rPr>
            </w:pPr>
            <w:r>
              <w:rPr>
                <w:sz w:val="28"/>
                <w:szCs w:val="28"/>
              </w:rPr>
              <w:t>29.1</w:t>
            </w:r>
          </w:p>
        </w:tc>
        <w:tc>
          <w:tcPr>
            <w:tcW w:w="805" w:type="dxa"/>
            <w:tcBorders>
              <w:top w:val="outset" w:color="auto" w:sz="6" w:space="0"/>
              <w:left w:val="outset" w:color="auto" w:sz="6" w:space="0"/>
              <w:bottom w:val="outset" w:color="auto" w:sz="6" w:space="0"/>
              <w:right w:val="outset" w:color="auto" w:sz="6" w:space="0"/>
            </w:tcBorders>
            <w:vAlign w:val="center"/>
          </w:tcPr>
          <w:p w14:paraId="6D4BDFCB">
            <w:pPr>
              <w:rPr>
                <w:sz w:val="28"/>
                <w:szCs w:val="28"/>
              </w:rPr>
            </w:pPr>
            <w:r>
              <w:rPr>
                <w:sz w:val="28"/>
                <w:szCs w:val="28"/>
              </w:rPr>
              <w:t>70.9</w:t>
            </w:r>
          </w:p>
        </w:tc>
      </w:tr>
      <w:tr w14:paraId="2DB2AF9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288" w:hRule="atLeast"/>
          <w:tblCellSpacing w:w="15" w:type="dxa"/>
        </w:trPr>
        <w:tc>
          <w:tcPr>
            <w:tcW w:w="2567" w:type="dxa"/>
            <w:tcBorders>
              <w:top w:val="outset" w:color="auto" w:sz="6" w:space="0"/>
              <w:left w:val="outset" w:color="auto" w:sz="6" w:space="0"/>
              <w:bottom w:val="outset" w:color="auto" w:sz="6" w:space="0"/>
              <w:right w:val="outset" w:color="auto" w:sz="6" w:space="0"/>
            </w:tcBorders>
            <w:vAlign w:val="center"/>
          </w:tcPr>
          <w:p w14:paraId="4C38E811">
            <w:pPr>
              <w:rPr>
                <w:sz w:val="28"/>
                <w:szCs w:val="28"/>
              </w:rPr>
            </w:pPr>
            <w:r>
              <w:rPr>
                <w:sz w:val="28"/>
                <w:szCs w:val="28"/>
              </w:rPr>
              <w:t>Spectrum 4</w:t>
            </w:r>
          </w:p>
        </w:tc>
        <w:tc>
          <w:tcPr>
            <w:tcW w:w="1387" w:type="dxa"/>
            <w:tcBorders>
              <w:top w:val="outset" w:color="auto" w:sz="6" w:space="0"/>
              <w:left w:val="outset" w:color="auto" w:sz="6" w:space="0"/>
              <w:bottom w:val="outset" w:color="auto" w:sz="6" w:space="0"/>
              <w:right w:val="outset" w:color="auto" w:sz="6" w:space="0"/>
            </w:tcBorders>
            <w:vAlign w:val="center"/>
          </w:tcPr>
          <w:p w14:paraId="261C2480">
            <w:pPr>
              <w:rPr>
                <w:sz w:val="28"/>
                <w:szCs w:val="28"/>
              </w:rPr>
            </w:pPr>
            <w:r>
              <w:rPr>
                <w:sz w:val="28"/>
                <w:szCs w:val="28"/>
              </w:rPr>
              <w:t>Да</w:t>
            </w:r>
          </w:p>
        </w:tc>
        <w:tc>
          <w:tcPr>
            <w:tcW w:w="821" w:type="dxa"/>
            <w:tcBorders>
              <w:top w:val="outset" w:color="auto" w:sz="6" w:space="0"/>
              <w:left w:val="outset" w:color="auto" w:sz="6" w:space="0"/>
              <w:bottom w:val="outset" w:color="auto" w:sz="6" w:space="0"/>
              <w:right w:val="outset" w:color="auto" w:sz="6" w:space="0"/>
            </w:tcBorders>
            <w:vAlign w:val="center"/>
          </w:tcPr>
          <w:p w14:paraId="7D88C0B5">
            <w:pPr>
              <w:rPr>
                <w:sz w:val="28"/>
                <w:szCs w:val="28"/>
              </w:rPr>
            </w:pPr>
            <w:r>
              <w:rPr>
                <w:sz w:val="28"/>
                <w:szCs w:val="28"/>
              </w:rPr>
              <w:t>29.0</w:t>
            </w:r>
          </w:p>
        </w:tc>
        <w:tc>
          <w:tcPr>
            <w:tcW w:w="805" w:type="dxa"/>
            <w:tcBorders>
              <w:top w:val="outset" w:color="auto" w:sz="6" w:space="0"/>
              <w:left w:val="outset" w:color="auto" w:sz="6" w:space="0"/>
              <w:bottom w:val="outset" w:color="auto" w:sz="6" w:space="0"/>
              <w:right w:val="outset" w:color="auto" w:sz="6" w:space="0"/>
            </w:tcBorders>
            <w:vAlign w:val="center"/>
          </w:tcPr>
          <w:p w14:paraId="0E6AC4B4">
            <w:pPr>
              <w:rPr>
                <w:sz w:val="28"/>
                <w:szCs w:val="28"/>
              </w:rPr>
            </w:pPr>
            <w:r>
              <w:rPr>
                <w:sz w:val="28"/>
                <w:szCs w:val="28"/>
              </w:rPr>
              <w:t>71.0</w:t>
            </w:r>
          </w:p>
        </w:tc>
      </w:tr>
      <w:tr w14:paraId="1E1AAA9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297" w:hRule="atLeast"/>
          <w:tblCellSpacing w:w="15" w:type="dxa"/>
        </w:trPr>
        <w:tc>
          <w:tcPr>
            <w:tcW w:w="2567" w:type="dxa"/>
            <w:tcBorders>
              <w:top w:val="outset" w:color="auto" w:sz="6" w:space="0"/>
              <w:left w:val="outset" w:color="auto" w:sz="6" w:space="0"/>
              <w:bottom w:val="outset" w:color="auto" w:sz="6" w:space="0"/>
              <w:right w:val="outset" w:color="auto" w:sz="6" w:space="0"/>
            </w:tcBorders>
            <w:vAlign w:val="center"/>
          </w:tcPr>
          <w:p w14:paraId="5359EB49">
            <w:pPr>
              <w:rPr>
                <w:sz w:val="28"/>
                <w:szCs w:val="28"/>
              </w:rPr>
            </w:pPr>
            <w:r>
              <w:rPr>
                <w:sz w:val="28"/>
                <w:szCs w:val="28"/>
              </w:rPr>
              <w:t>Среднее</w:t>
            </w:r>
          </w:p>
        </w:tc>
        <w:tc>
          <w:tcPr>
            <w:tcW w:w="1387" w:type="dxa"/>
            <w:tcBorders>
              <w:top w:val="outset" w:color="auto" w:sz="6" w:space="0"/>
              <w:left w:val="outset" w:color="auto" w:sz="6" w:space="0"/>
              <w:bottom w:val="outset" w:color="auto" w:sz="6" w:space="0"/>
              <w:right w:val="outset" w:color="auto" w:sz="6" w:space="0"/>
            </w:tcBorders>
            <w:vAlign w:val="center"/>
          </w:tcPr>
          <w:p w14:paraId="6082D5A6">
            <w:pPr>
              <w:rPr>
                <w:sz w:val="28"/>
                <w:szCs w:val="28"/>
              </w:rPr>
            </w:pPr>
          </w:p>
        </w:tc>
        <w:tc>
          <w:tcPr>
            <w:tcW w:w="821" w:type="dxa"/>
            <w:tcBorders>
              <w:top w:val="outset" w:color="auto" w:sz="6" w:space="0"/>
              <w:left w:val="outset" w:color="auto" w:sz="6" w:space="0"/>
              <w:bottom w:val="outset" w:color="auto" w:sz="6" w:space="0"/>
              <w:right w:val="outset" w:color="auto" w:sz="6" w:space="0"/>
            </w:tcBorders>
            <w:vAlign w:val="center"/>
          </w:tcPr>
          <w:p w14:paraId="0609830C">
            <w:pPr>
              <w:rPr>
                <w:sz w:val="28"/>
                <w:szCs w:val="28"/>
              </w:rPr>
            </w:pPr>
            <w:r>
              <w:rPr>
                <w:sz w:val="28"/>
                <w:szCs w:val="28"/>
              </w:rPr>
              <w:t>29.0</w:t>
            </w:r>
          </w:p>
        </w:tc>
        <w:tc>
          <w:tcPr>
            <w:tcW w:w="805" w:type="dxa"/>
            <w:tcBorders>
              <w:top w:val="outset" w:color="auto" w:sz="6" w:space="0"/>
              <w:left w:val="outset" w:color="auto" w:sz="6" w:space="0"/>
              <w:bottom w:val="outset" w:color="auto" w:sz="6" w:space="0"/>
              <w:right w:val="outset" w:color="auto" w:sz="6" w:space="0"/>
            </w:tcBorders>
            <w:vAlign w:val="center"/>
          </w:tcPr>
          <w:p w14:paraId="3CDCEF9B">
            <w:pPr>
              <w:rPr>
                <w:sz w:val="28"/>
                <w:szCs w:val="28"/>
              </w:rPr>
            </w:pPr>
            <w:r>
              <w:rPr>
                <w:sz w:val="28"/>
                <w:szCs w:val="28"/>
              </w:rPr>
              <w:t>71.0</w:t>
            </w:r>
          </w:p>
        </w:tc>
      </w:tr>
      <w:tr w14:paraId="78C234D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262" w:hRule="atLeast"/>
          <w:tblCellSpacing w:w="15" w:type="dxa"/>
        </w:trPr>
        <w:tc>
          <w:tcPr>
            <w:tcW w:w="2567" w:type="dxa"/>
            <w:tcBorders>
              <w:top w:val="outset" w:color="auto" w:sz="6" w:space="0"/>
              <w:left w:val="outset" w:color="auto" w:sz="6" w:space="0"/>
              <w:bottom w:val="outset" w:color="auto" w:sz="6" w:space="0"/>
              <w:right w:val="outset" w:color="auto" w:sz="6" w:space="0"/>
            </w:tcBorders>
            <w:vAlign w:val="center"/>
          </w:tcPr>
          <w:p w14:paraId="78CA8DE5">
            <w:pPr>
              <w:rPr>
                <w:sz w:val="28"/>
                <w:szCs w:val="28"/>
              </w:rPr>
            </w:pPr>
            <w:r>
              <w:rPr>
                <w:sz w:val="28"/>
                <w:szCs w:val="28"/>
              </w:rPr>
              <w:t>Станд. отклонение</w:t>
            </w:r>
          </w:p>
        </w:tc>
        <w:tc>
          <w:tcPr>
            <w:tcW w:w="1387" w:type="dxa"/>
            <w:tcBorders>
              <w:top w:val="outset" w:color="auto" w:sz="6" w:space="0"/>
              <w:left w:val="outset" w:color="auto" w:sz="6" w:space="0"/>
              <w:bottom w:val="outset" w:color="auto" w:sz="6" w:space="0"/>
              <w:right w:val="outset" w:color="auto" w:sz="6" w:space="0"/>
            </w:tcBorders>
            <w:vAlign w:val="center"/>
          </w:tcPr>
          <w:p w14:paraId="04A78E78">
            <w:pPr>
              <w:rPr>
                <w:sz w:val="28"/>
                <w:szCs w:val="28"/>
              </w:rPr>
            </w:pPr>
          </w:p>
        </w:tc>
        <w:tc>
          <w:tcPr>
            <w:tcW w:w="821" w:type="dxa"/>
            <w:tcBorders>
              <w:top w:val="outset" w:color="auto" w:sz="6" w:space="0"/>
              <w:left w:val="outset" w:color="auto" w:sz="6" w:space="0"/>
              <w:bottom w:val="outset" w:color="auto" w:sz="6" w:space="0"/>
              <w:right w:val="outset" w:color="auto" w:sz="6" w:space="0"/>
            </w:tcBorders>
            <w:vAlign w:val="center"/>
          </w:tcPr>
          <w:p w14:paraId="68B22916">
            <w:pPr>
              <w:rPr>
                <w:sz w:val="28"/>
                <w:szCs w:val="28"/>
              </w:rPr>
            </w:pPr>
            <w:r>
              <w:rPr>
                <w:sz w:val="28"/>
                <w:szCs w:val="28"/>
              </w:rPr>
              <w:t>0,5</w:t>
            </w:r>
          </w:p>
        </w:tc>
        <w:tc>
          <w:tcPr>
            <w:tcW w:w="805" w:type="dxa"/>
            <w:tcBorders>
              <w:top w:val="outset" w:color="auto" w:sz="6" w:space="0"/>
              <w:left w:val="outset" w:color="auto" w:sz="6" w:space="0"/>
              <w:bottom w:val="outset" w:color="auto" w:sz="6" w:space="0"/>
              <w:right w:val="outset" w:color="auto" w:sz="6" w:space="0"/>
            </w:tcBorders>
            <w:vAlign w:val="center"/>
          </w:tcPr>
          <w:p w14:paraId="365D6C8F">
            <w:pPr>
              <w:rPr>
                <w:sz w:val="28"/>
                <w:szCs w:val="28"/>
              </w:rPr>
            </w:pPr>
            <w:r>
              <w:rPr>
                <w:sz w:val="28"/>
                <w:szCs w:val="28"/>
              </w:rPr>
              <w:t>0,5</w:t>
            </w:r>
          </w:p>
        </w:tc>
      </w:tr>
    </w:tbl>
    <w:p w14:paraId="70B789CF">
      <w:pPr>
        <w:spacing w:before="240"/>
        <w:jc w:val="center"/>
      </w:pPr>
      <w:r>
        <w:rPr>
          <w:color w:val="000000" w:themeColor="text1"/>
          <w14:textFill>
            <w14:solidFill>
              <w14:schemeClr w14:val="tx1"/>
            </w14:solidFill>
          </w14:textFill>
        </w:rPr>
        <w:drawing>
          <wp:inline distT="0" distB="0" distL="0" distR="0">
            <wp:extent cx="2294255" cy="1800860"/>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95392" cy="1802144"/>
                    </a:xfrm>
                    <a:prstGeom prst="rect">
                      <a:avLst/>
                    </a:prstGeom>
                  </pic:spPr>
                </pic:pic>
              </a:graphicData>
            </a:graphic>
          </wp:inline>
        </w:drawing>
      </w:r>
      <w:r>
        <w:drawing>
          <wp:inline distT="0" distB="0" distL="0" distR="0">
            <wp:extent cx="3319780" cy="180149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320144" cy="1801587"/>
                    </a:xfrm>
                    <a:prstGeom prst="rect">
                      <a:avLst/>
                    </a:prstGeom>
                  </pic:spPr>
                </pic:pic>
              </a:graphicData>
            </a:graphic>
          </wp:inline>
        </w:drawing>
      </w:r>
    </w:p>
    <w:p w14:paraId="2194D09A">
      <w:pPr>
        <w:spacing w:before="240"/>
        <w:jc w:val="center"/>
        <w:rPr>
          <w:i/>
        </w:rPr>
      </w:pPr>
      <w:r>
        <w:rPr>
          <w:i/>
        </w:rPr>
        <w:t>(а)                                                                    (б)</w:t>
      </w:r>
    </w:p>
    <w:p w14:paraId="32A48046">
      <w:pPr>
        <w:pStyle w:val="10"/>
        <w:spacing w:after="360"/>
        <w:jc w:val="center"/>
        <w:rPr>
          <w:rFonts w:ascii="Times New Roman" w:hAnsi="Times New Roman" w:cs="Times New Roman"/>
          <w:i w:val="0"/>
          <w:sz w:val="28"/>
          <w:szCs w:val="28"/>
        </w:rPr>
      </w:pPr>
      <w:r>
        <w:rPr>
          <w:rFonts w:ascii="Times New Roman" w:hAnsi="Times New Roman" w:cs="Times New Roman"/>
          <w:sz w:val="28"/>
          <w:szCs w:val="28"/>
        </w:rPr>
        <w:t xml:space="preserve">Рисунок 9. </w:t>
      </w:r>
      <w:r>
        <w:rPr>
          <w:rFonts w:ascii="Times New Roman" w:hAnsi="Times New Roman" w:cs="Times New Roman"/>
          <w:i w:val="0"/>
          <w:sz w:val="28"/>
          <w:szCs w:val="28"/>
        </w:rPr>
        <w:t xml:space="preserve">ЛРСА, микрофотография поверхности образца осажденного </w:t>
      </w:r>
      <w:r>
        <w:rPr>
          <w:rFonts w:ascii="Times New Roman" w:hAnsi="Times New Roman" w:cs="Times New Roman"/>
          <w:i w:val="0"/>
          <w:sz w:val="28"/>
          <w:szCs w:val="28"/>
          <w:lang w:val="en-US"/>
        </w:rPr>
        <w:t>Cr</w:t>
      </w:r>
      <w:r>
        <w:rPr>
          <w:rFonts w:ascii="Times New Roman" w:hAnsi="Times New Roman" w:cs="Times New Roman"/>
          <w:i w:val="0"/>
          <w:sz w:val="28"/>
          <w:szCs w:val="28"/>
        </w:rPr>
        <w:t xml:space="preserve"> на </w:t>
      </w:r>
      <w:r>
        <w:rPr>
          <w:rFonts w:ascii="Times New Roman" w:hAnsi="Times New Roman" w:cs="Times New Roman"/>
          <w:i w:val="0"/>
          <w:sz w:val="28"/>
          <w:szCs w:val="28"/>
          <w:lang w:val="en-US"/>
        </w:rPr>
        <w:t>Cu</w:t>
      </w:r>
      <w:r>
        <w:rPr>
          <w:rFonts w:ascii="Times New Roman" w:hAnsi="Times New Roman" w:cs="Times New Roman"/>
          <w:i w:val="0"/>
          <w:sz w:val="28"/>
          <w:szCs w:val="28"/>
        </w:rPr>
        <w:t xml:space="preserve"> подложку (</w:t>
      </w:r>
      <w:r>
        <w:rPr>
          <w:rFonts w:ascii="Times New Roman" w:hAnsi="Times New Roman" w:cs="Times New Roman"/>
          <w:sz w:val="28"/>
          <w:szCs w:val="28"/>
        </w:rPr>
        <w:t>а</w:t>
      </w:r>
      <w:r>
        <w:rPr>
          <w:rFonts w:ascii="Times New Roman" w:hAnsi="Times New Roman" w:cs="Times New Roman"/>
          <w:i w:val="0"/>
          <w:sz w:val="28"/>
          <w:szCs w:val="28"/>
        </w:rPr>
        <w:t>), спектр осажденного хрома на медную подложку (</w:t>
      </w:r>
      <w:r>
        <w:rPr>
          <w:rFonts w:ascii="Times New Roman" w:hAnsi="Times New Roman" w:cs="Times New Roman"/>
          <w:sz w:val="28"/>
          <w:szCs w:val="28"/>
        </w:rPr>
        <w:t>б</w:t>
      </w:r>
      <w:r>
        <w:rPr>
          <w:rFonts w:ascii="Times New Roman" w:hAnsi="Times New Roman" w:cs="Times New Roman"/>
          <w:i w:val="0"/>
          <w:sz w:val="28"/>
          <w:szCs w:val="28"/>
        </w:rPr>
        <w:t>).</w:t>
      </w:r>
    </w:p>
    <w:p w14:paraId="76AFC24D">
      <w:pPr>
        <w:pStyle w:val="10"/>
        <w:spacing w:after="360" w:line="360" w:lineRule="auto"/>
        <w:ind w:firstLine="709"/>
        <w:jc w:val="both"/>
        <w:rPr>
          <w:rFonts w:ascii="Times New Roman" w:hAnsi="Times New Roman" w:cs="Times New Roman"/>
          <w:i w:val="0"/>
          <w:sz w:val="28"/>
          <w:szCs w:val="28"/>
        </w:rPr>
      </w:pPr>
      <w:r>
        <w:rPr>
          <w:rFonts w:ascii="Times New Roman" w:hAnsi="Times New Roman" w:cs="Times New Roman"/>
          <w:i w:val="0"/>
          <w:sz w:val="28"/>
          <w:szCs w:val="28"/>
        </w:rPr>
        <w:t xml:space="preserve">Плотность тока осаждения есть скоростьлимитирующий фактор процесса электроосаждения. Задавая постоянную плотность тока в гальваностатическом режиме мы, там самым, делаем процесс осаждения стационарным с постоянной скоростью и приближаем выход по току к 100 %. На основании приведенных данных по осаждению хрома при двух плотностях тока можно заключить, что с повышением плотности катодного тока от 100 до 300 </w:t>
      </w:r>
      <w:r>
        <w:rPr>
          <w:rFonts w:ascii="Times New Roman" w:hAnsi="Times New Roman" w:cs="Times New Roman"/>
          <w:sz w:val="28"/>
          <w:szCs w:val="28"/>
        </w:rPr>
        <w:t>мА/см</w:t>
      </w:r>
      <w:r>
        <w:rPr>
          <w:rFonts w:ascii="Times New Roman" w:hAnsi="Times New Roman" w:cs="Times New Roman"/>
          <w:sz w:val="28"/>
          <w:szCs w:val="28"/>
          <w:vertAlign w:val="superscript"/>
        </w:rPr>
        <w:t>2</w:t>
      </w:r>
      <w:r>
        <w:rPr>
          <w:rFonts w:ascii="Times New Roman" w:hAnsi="Times New Roman" w:cs="Times New Roman"/>
          <w:i w:val="0"/>
          <w:sz w:val="28"/>
          <w:szCs w:val="28"/>
        </w:rPr>
        <w:t xml:space="preserve"> покрытие осаждается более равномерно. Кроме того, затемненный цвет микрофотографии (рис. 9 (</w:t>
      </w:r>
      <w:r>
        <w:rPr>
          <w:rFonts w:ascii="Times New Roman" w:hAnsi="Times New Roman" w:cs="Times New Roman"/>
          <w:sz w:val="28"/>
          <w:szCs w:val="28"/>
        </w:rPr>
        <w:t>а</w:t>
      </w:r>
      <w:r>
        <w:rPr>
          <w:rFonts w:ascii="Times New Roman" w:hAnsi="Times New Roman" w:cs="Times New Roman"/>
          <w:i w:val="0"/>
          <w:sz w:val="28"/>
          <w:szCs w:val="28"/>
        </w:rPr>
        <w:t xml:space="preserve">)) свидетельствует о существовании продуктов недовосстановления, например оксидных фаз. При плотности катодного тока осаждения поверхность имеет металлический блеск, что свидетельствует об отсутствие продуктов недовосстановления, также осажденный слой хрома имеет большую толщину, о которой мы можем судить по содержанию меди в полученных образцах после осаждения (содержание меди значительно меньшее при плотности катодного тока – </w:t>
      </w:r>
      <w:r>
        <w:rPr>
          <w:rFonts w:ascii="Times New Roman" w:hAnsi="Times New Roman" w:cs="Times New Roman"/>
          <w:sz w:val="28"/>
          <w:szCs w:val="28"/>
        </w:rPr>
        <w:t>300 мА/см</w:t>
      </w:r>
      <w:r>
        <w:rPr>
          <w:rFonts w:ascii="Times New Roman" w:hAnsi="Times New Roman" w:cs="Times New Roman"/>
          <w:sz w:val="28"/>
          <w:szCs w:val="28"/>
          <w:vertAlign w:val="superscript"/>
        </w:rPr>
        <w:t>2</w:t>
      </w:r>
      <w:r>
        <w:rPr>
          <w:rFonts w:ascii="Times New Roman" w:hAnsi="Times New Roman" w:cs="Times New Roman"/>
          <w:i w:val="0"/>
          <w:sz w:val="28"/>
          <w:szCs w:val="28"/>
        </w:rPr>
        <w:t>)</w:t>
      </w:r>
    </w:p>
    <w:p w14:paraId="08F678D4">
      <w:pPr>
        <w:jc w:val="right"/>
        <w:rPr>
          <w:rStyle w:val="8"/>
          <w:b w:val="0"/>
          <w:bCs w:val="0"/>
          <w:i/>
          <w:sz w:val="28"/>
          <w:szCs w:val="28"/>
        </w:rPr>
      </w:pPr>
    </w:p>
    <w:p w14:paraId="742BDC10">
      <w:pPr>
        <w:jc w:val="center"/>
        <w:rPr>
          <w:rStyle w:val="8"/>
          <w:b w:val="0"/>
          <w:bCs w:val="0"/>
          <w:i/>
          <w:sz w:val="28"/>
          <w:szCs w:val="28"/>
        </w:rPr>
      </w:pPr>
      <w:r>
        <w:drawing>
          <wp:inline distT="0" distB="0" distL="0" distR="0">
            <wp:extent cx="3072765" cy="2456180"/>
            <wp:effectExtent l="0" t="0" r="0" b="1270"/>
            <wp:docPr id="6" name="Рисунок 6" descr="C:\Users\Fishgoit\AppData\Local\Temp\ksohtml10116\wps1.jpg"/>
            <wp:cNvGraphicFramePr/>
            <a:graphic xmlns:a="http://schemas.openxmlformats.org/drawingml/2006/main">
              <a:graphicData uri="http://schemas.openxmlformats.org/drawingml/2006/picture">
                <pic:pic xmlns:pic="http://schemas.openxmlformats.org/drawingml/2006/picture">
                  <pic:nvPicPr>
                    <pic:cNvPr id="6" name="Рисунок 6" descr="C:\Users\Fishgoit\AppData\Local\Temp\ksohtml10116\wps1.jpg"/>
                    <pic:cNvPicPr/>
                  </pic:nvPicPr>
                  <pic:blipFill>
                    <a:blip r:embed="rId19">
                      <a:extLst>
                        <a:ext uri="{28A0092B-C50C-407E-A947-70E740481C1C}">
                          <a14:useLocalDpi xmlns:a14="http://schemas.microsoft.com/office/drawing/2010/main" val="0"/>
                        </a:ext>
                      </a:extLst>
                    </a:blip>
                    <a:srcRect/>
                    <a:stretch>
                      <a:fillRect/>
                    </a:stretch>
                  </pic:blipFill>
                  <pic:spPr>
                    <a:xfrm>
                      <a:off x="0" y="0"/>
                      <a:ext cx="3072765" cy="2456180"/>
                    </a:xfrm>
                    <a:prstGeom prst="rect">
                      <a:avLst/>
                    </a:prstGeom>
                    <a:noFill/>
                    <a:ln>
                      <a:noFill/>
                    </a:ln>
                  </pic:spPr>
                </pic:pic>
              </a:graphicData>
            </a:graphic>
          </wp:inline>
        </w:drawing>
      </w:r>
    </w:p>
    <w:p w14:paraId="185B0B68">
      <w:pPr>
        <w:spacing w:line="360" w:lineRule="auto"/>
        <w:jc w:val="center"/>
        <w:rPr>
          <w:sz w:val="28"/>
          <w:szCs w:val="28"/>
        </w:rPr>
      </w:pPr>
      <w:r>
        <w:rPr>
          <w:i/>
          <w:sz w:val="28"/>
          <w:szCs w:val="28"/>
        </w:rPr>
        <w:t>Рисунок 10.</w:t>
      </w:r>
      <w:r>
        <w:rPr>
          <w:sz w:val="28"/>
          <w:szCs w:val="28"/>
        </w:rPr>
        <w:t xml:space="preserve"> Соотношение концентрации ионов Cr</w:t>
      </w:r>
      <w:r>
        <w:rPr>
          <w:sz w:val="28"/>
          <w:szCs w:val="28"/>
          <w:vertAlign w:val="superscript"/>
        </w:rPr>
        <w:t>3+</w:t>
      </w:r>
      <w:r>
        <w:rPr>
          <w:sz w:val="28"/>
          <w:szCs w:val="28"/>
        </w:rPr>
        <w:t xml:space="preserve"> в растворе и содержания хрома в полученном осадке по результатам ЛРСА данных.</w:t>
      </w:r>
    </w:p>
    <w:p w14:paraId="3CB31197">
      <w:pPr>
        <w:spacing w:line="360" w:lineRule="auto"/>
        <w:ind w:firstLine="709"/>
        <w:jc w:val="both"/>
        <w:rPr>
          <w:rStyle w:val="8"/>
          <w:b w:val="0"/>
          <w:bCs w:val="0"/>
          <w:sz w:val="28"/>
          <w:szCs w:val="28"/>
        </w:rPr>
      </w:pPr>
      <w:r>
        <w:rPr>
          <w:rStyle w:val="8"/>
          <w:b w:val="0"/>
          <w:bCs w:val="0"/>
          <w:sz w:val="28"/>
          <w:szCs w:val="28"/>
        </w:rPr>
        <w:t>Также было интересно установить корреляцию между концентрацией ионов хрома (</w:t>
      </w:r>
      <w:r>
        <w:rPr>
          <w:rStyle w:val="8"/>
          <w:b w:val="0"/>
          <w:bCs w:val="0"/>
          <w:sz w:val="28"/>
          <w:szCs w:val="28"/>
          <w:lang w:val="en-US"/>
        </w:rPr>
        <w:t>III</w:t>
      </w:r>
      <w:r>
        <w:rPr>
          <w:rStyle w:val="8"/>
          <w:b w:val="0"/>
          <w:bCs w:val="0"/>
          <w:sz w:val="28"/>
          <w:szCs w:val="28"/>
        </w:rPr>
        <w:t xml:space="preserve">) в растворе и содержанием хрома в осажденном покрытии. Из рисунка 10 ми видим логарифмическую зависимость этих параметров. </w:t>
      </w:r>
    </w:p>
    <w:p w14:paraId="033EEADB">
      <w:pPr>
        <w:jc w:val="both"/>
        <w:rPr>
          <w:rStyle w:val="8"/>
          <w:b w:val="0"/>
          <w:bCs w:val="0"/>
          <w:sz w:val="28"/>
          <w:szCs w:val="28"/>
        </w:rPr>
      </w:pPr>
    </w:p>
    <w:p w14:paraId="047C924A">
      <w:pPr>
        <w:jc w:val="both"/>
        <w:rPr>
          <w:rStyle w:val="8"/>
          <w:b w:val="0"/>
          <w:bCs w:val="0"/>
          <w:sz w:val="28"/>
          <w:szCs w:val="28"/>
        </w:rPr>
      </w:pPr>
    </w:p>
    <w:p w14:paraId="36A075CC">
      <w:pPr>
        <w:jc w:val="both"/>
        <w:rPr>
          <w:rStyle w:val="8"/>
          <w:b w:val="0"/>
          <w:bCs w:val="0"/>
          <w:sz w:val="28"/>
          <w:szCs w:val="28"/>
        </w:rPr>
      </w:pPr>
    </w:p>
    <w:p w14:paraId="0C103248">
      <w:pPr>
        <w:rPr>
          <w:rStyle w:val="8"/>
          <w:b w:val="0"/>
          <w:bCs w:val="0"/>
        </w:rPr>
      </w:pPr>
    </w:p>
    <w:p w14:paraId="58682B78">
      <w:pPr>
        <w:pStyle w:val="4"/>
        <w:spacing w:after="240"/>
        <w:rPr>
          <w:rStyle w:val="8"/>
          <w:rFonts w:cs="Times New Roman"/>
          <w:b w:val="0"/>
          <w:bCs/>
          <w:sz w:val="28"/>
          <w:szCs w:val="28"/>
        </w:rPr>
      </w:pPr>
      <w:bookmarkStart w:id="24" w:name="_Toc167999811"/>
      <w:r>
        <w:rPr>
          <w:rStyle w:val="8"/>
          <w:rFonts w:cs="Times New Roman"/>
          <w:b w:val="0"/>
          <w:bCs/>
          <w:sz w:val="28"/>
          <w:szCs w:val="28"/>
        </w:rPr>
        <w:t>4.1.3. Послойно осажденные никель-хром на медную пластину</w:t>
      </w:r>
      <w:bookmarkEnd w:id="24"/>
    </w:p>
    <w:p w14:paraId="31ECA02B">
      <w:pPr>
        <w:spacing w:before="240"/>
        <w:jc w:val="center"/>
        <w:rPr>
          <w:sz w:val="28"/>
          <w:szCs w:val="28"/>
        </w:rPr>
      </w:pPr>
      <w:r>
        <w:rPr>
          <w:i/>
          <w:color w:val="000000" w:themeColor="text1"/>
          <w:sz w:val="28"/>
          <w:szCs w:val="28"/>
          <w14:textFill>
            <w14:solidFill>
              <w14:schemeClr w14:val="tx1"/>
            </w14:solidFill>
          </w14:textFill>
        </w:rPr>
        <w:t>Таблица 9.</w:t>
      </w:r>
      <w:r>
        <w:rPr>
          <w:color w:val="000000" w:themeColor="text1"/>
          <w:sz w:val="28"/>
          <w:szCs w:val="28"/>
          <w14:textFill>
            <w14:solidFill>
              <w14:schemeClr w14:val="tx1"/>
            </w14:solidFill>
          </w14:textFill>
        </w:rPr>
        <w:t xml:space="preserve"> Элементный состав по данным ЛРСА послойного осаждения </w:t>
      </w:r>
      <w:r>
        <w:rPr>
          <w:color w:val="000000" w:themeColor="text1"/>
          <w:sz w:val="28"/>
          <w:szCs w:val="28"/>
          <w:lang w:val="en-US"/>
          <w14:textFill>
            <w14:solidFill>
              <w14:schemeClr w14:val="tx1"/>
            </w14:solidFill>
          </w14:textFill>
        </w:rPr>
        <w:t>Ni</w:t>
      </w:r>
      <w:r>
        <w:rPr>
          <w:color w:val="000000" w:themeColor="text1"/>
          <w:sz w:val="28"/>
          <w:szCs w:val="28"/>
          <w14:textFill>
            <w14:solidFill>
              <w14:schemeClr w14:val="tx1"/>
            </w14:solidFill>
          </w14:textFill>
        </w:rPr>
        <w:t xml:space="preserve"> (при плотности тока – 0.1 А/см</w:t>
      </w:r>
      <w:r>
        <w:rPr>
          <w:color w:val="000000" w:themeColor="text1"/>
          <w:sz w:val="28"/>
          <w:szCs w:val="28"/>
          <w:vertAlign w:val="superscript"/>
          <w14:textFill>
            <w14:solidFill>
              <w14:schemeClr w14:val="tx1"/>
            </w14:solidFill>
          </w14:textFill>
        </w:rPr>
        <w:t>2</w:t>
      </w:r>
      <w:r>
        <w:rPr>
          <w:color w:val="000000" w:themeColor="text1"/>
          <w:sz w:val="28"/>
          <w:szCs w:val="28"/>
          <w14:textFill>
            <w14:solidFill>
              <w14:schemeClr w14:val="tx1"/>
            </w14:solidFill>
          </w14:textFill>
        </w:rPr>
        <w:t xml:space="preserve">), затем </w:t>
      </w:r>
      <w:r>
        <w:rPr>
          <w:color w:val="000000" w:themeColor="text1"/>
          <w:sz w:val="28"/>
          <w:szCs w:val="28"/>
          <w:lang w:val="en-US"/>
          <w14:textFill>
            <w14:solidFill>
              <w14:schemeClr w14:val="tx1"/>
            </w14:solidFill>
          </w14:textFill>
        </w:rPr>
        <w:t>Cr</w:t>
      </w:r>
      <w:r>
        <w:rPr>
          <w:color w:val="000000" w:themeColor="text1"/>
          <w:sz w:val="28"/>
          <w:szCs w:val="28"/>
          <w14:textFill>
            <w14:solidFill>
              <w14:schemeClr w14:val="tx1"/>
            </w14:solidFill>
          </w14:textFill>
        </w:rPr>
        <w:t xml:space="preserve"> (при плотности тока – 0.3 А/см</w:t>
      </w:r>
      <w:r>
        <w:rPr>
          <w:color w:val="000000" w:themeColor="text1"/>
          <w:sz w:val="28"/>
          <w:szCs w:val="28"/>
          <w:vertAlign w:val="superscript"/>
          <w14:textFill>
            <w14:solidFill>
              <w14:schemeClr w14:val="tx1"/>
            </w14:solidFill>
          </w14:textFill>
        </w:rPr>
        <w:t>2</w:t>
      </w:r>
      <w:r>
        <w:rPr>
          <w:color w:val="000000" w:themeColor="text1"/>
          <w:sz w:val="28"/>
          <w:szCs w:val="28"/>
          <w14:textFill>
            <w14:solidFill>
              <w14:schemeClr w14:val="tx1"/>
            </w14:solidFill>
          </w14:textFill>
        </w:rPr>
        <w:t>) на медную пластину.</w:t>
      </w:r>
    </w:p>
    <w:tbl>
      <w:tblPr>
        <w:tblStyle w:val="6"/>
        <w:tblW w:w="6581" w:type="dxa"/>
        <w:tblCellSpacing w:w="15" w:type="dxa"/>
        <w:tblInd w:w="1565"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2554"/>
        <w:gridCol w:w="1475"/>
        <w:gridCol w:w="851"/>
        <w:gridCol w:w="850"/>
        <w:gridCol w:w="851"/>
      </w:tblGrid>
      <w:tr w14:paraId="0F42AB6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317" w:hRule="atLeast"/>
          <w:tblCellSpacing w:w="15" w:type="dxa"/>
        </w:trPr>
        <w:tc>
          <w:tcPr>
            <w:tcW w:w="0" w:type="auto"/>
            <w:tcBorders>
              <w:top w:val="outset" w:color="auto" w:sz="6" w:space="0"/>
              <w:left w:val="outset" w:color="auto" w:sz="6" w:space="0"/>
              <w:bottom w:val="outset" w:color="auto" w:sz="6" w:space="0"/>
              <w:right w:val="outset" w:color="auto" w:sz="6" w:space="0"/>
            </w:tcBorders>
            <w:vAlign w:val="center"/>
          </w:tcPr>
          <w:p w14:paraId="24FAD819">
            <w:pPr>
              <w:rPr>
                <w:sz w:val="28"/>
                <w:szCs w:val="28"/>
              </w:rPr>
            </w:pPr>
            <w:r>
              <w:rPr>
                <w:sz w:val="28"/>
                <w:szCs w:val="28"/>
              </w:rPr>
              <w:t>Спектр</w:t>
            </w:r>
          </w:p>
        </w:tc>
        <w:tc>
          <w:tcPr>
            <w:tcW w:w="1445" w:type="dxa"/>
            <w:tcBorders>
              <w:top w:val="outset" w:color="auto" w:sz="6" w:space="0"/>
              <w:left w:val="outset" w:color="auto" w:sz="6" w:space="0"/>
              <w:bottom w:val="outset" w:color="auto" w:sz="6" w:space="0"/>
              <w:right w:val="outset" w:color="auto" w:sz="6" w:space="0"/>
            </w:tcBorders>
            <w:vAlign w:val="center"/>
          </w:tcPr>
          <w:p w14:paraId="4571DB54">
            <w:pPr>
              <w:rPr>
                <w:sz w:val="28"/>
                <w:szCs w:val="28"/>
              </w:rPr>
            </w:pPr>
            <w:r>
              <w:rPr>
                <w:sz w:val="28"/>
                <w:szCs w:val="28"/>
              </w:rPr>
              <w:t>В стат.</w:t>
            </w:r>
          </w:p>
        </w:tc>
        <w:tc>
          <w:tcPr>
            <w:tcW w:w="821" w:type="dxa"/>
            <w:tcBorders>
              <w:top w:val="outset" w:color="auto" w:sz="6" w:space="0"/>
              <w:left w:val="outset" w:color="auto" w:sz="6" w:space="0"/>
              <w:bottom w:val="outset" w:color="auto" w:sz="6" w:space="0"/>
              <w:right w:val="outset" w:color="auto" w:sz="6" w:space="0"/>
            </w:tcBorders>
            <w:vAlign w:val="center"/>
          </w:tcPr>
          <w:p w14:paraId="71F7F5D7">
            <w:pPr>
              <w:rPr>
                <w:sz w:val="28"/>
                <w:szCs w:val="28"/>
              </w:rPr>
            </w:pPr>
            <w:r>
              <w:rPr>
                <w:sz w:val="28"/>
                <w:szCs w:val="28"/>
              </w:rPr>
              <w:t>Cr</w:t>
            </w:r>
          </w:p>
        </w:tc>
        <w:tc>
          <w:tcPr>
            <w:tcW w:w="820" w:type="dxa"/>
            <w:tcBorders>
              <w:top w:val="outset" w:color="auto" w:sz="6" w:space="0"/>
              <w:left w:val="outset" w:color="auto" w:sz="6" w:space="0"/>
              <w:bottom w:val="outset" w:color="auto" w:sz="6" w:space="0"/>
              <w:right w:val="outset" w:color="auto" w:sz="6" w:space="0"/>
            </w:tcBorders>
            <w:vAlign w:val="center"/>
          </w:tcPr>
          <w:p w14:paraId="6559346E">
            <w:pPr>
              <w:rPr>
                <w:sz w:val="28"/>
                <w:szCs w:val="28"/>
              </w:rPr>
            </w:pPr>
            <w:r>
              <w:rPr>
                <w:sz w:val="28"/>
                <w:szCs w:val="28"/>
              </w:rPr>
              <w:t>Ni</w:t>
            </w:r>
          </w:p>
        </w:tc>
        <w:tc>
          <w:tcPr>
            <w:tcW w:w="806" w:type="dxa"/>
            <w:tcBorders>
              <w:top w:val="outset" w:color="auto" w:sz="6" w:space="0"/>
              <w:left w:val="outset" w:color="auto" w:sz="6" w:space="0"/>
              <w:bottom w:val="outset" w:color="auto" w:sz="6" w:space="0"/>
              <w:right w:val="outset" w:color="auto" w:sz="6" w:space="0"/>
            </w:tcBorders>
            <w:vAlign w:val="center"/>
          </w:tcPr>
          <w:p w14:paraId="6BD80086">
            <w:pPr>
              <w:rPr>
                <w:sz w:val="28"/>
                <w:szCs w:val="28"/>
              </w:rPr>
            </w:pPr>
            <w:r>
              <w:rPr>
                <w:sz w:val="28"/>
                <w:szCs w:val="28"/>
              </w:rPr>
              <w:t>Cu</w:t>
            </w:r>
          </w:p>
        </w:tc>
      </w:tr>
      <w:tr w14:paraId="6E67FAC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0" w:hRule="atLeast"/>
          <w:tblCellSpacing w:w="15" w:type="dxa"/>
        </w:trPr>
        <w:tc>
          <w:tcPr>
            <w:tcW w:w="0" w:type="auto"/>
            <w:tcBorders>
              <w:top w:val="outset" w:color="auto" w:sz="6" w:space="0"/>
              <w:left w:val="outset" w:color="auto" w:sz="6" w:space="0"/>
              <w:bottom w:val="outset" w:color="auto" w:sz="6" w:space="0"/>
              <w:right w:val="outset" w:color="auto" w:sz="6" w:space="0"/>
            </w:tcBorders>
            <w:vAlign w:val="center"/>
          </w:tcPr>
          <w:p w14:paraId="1AAFCB58">
            <w:pPr>
              <w:rPr>
                <w:sz w:val="28"/>
                <w:szCs w:val="28"/>
              </w:rPr>
            </w:pPr>
          </w:p>
        </w:tc>
        <w:tc>
          <w:tcPr>
            <w:tcW w:w="1445" w:type="dxa"/>
            <w:tcBorders>
              <w:top w:val="outset" w:color="auto" w:sz="6" w:space="0"/>
              <w:left w:val="outset" w:color="auto" w:sz="6" w:space="0"/>
              <w:bottom w:val="outset" w:color="auto" w:sz="6" w:space="0"/>
              <w:right w:val="outset" w:color="auto" w:sz="6" w:space="0"/>
            </w:tcBorders>
            <w:vAlign w:val="center"/>
          </w:tcPr>
          <w:p w14:paraId="2DA0C201">
            <w:pPr>
              <w:rPr>
                <w:sz w:val="28"/>
                <w:szCs w:val="28"/>
              </w:rPr>
            </w:pPr>
          </w:p>
        </w:tc>
        <w:tc>
          <w:tcPr>
            <w:tcW w:w="821" w:type="dxa"/>
            <w:vAlign w:val="center"/>
          </w:tcPr>
          <w:p w14:paraId="52E0CF81">
            <w:pPr>
              <w:rPr>
                <w:sz w:val="28"/>
                <w:szCs w:val="28"/>
              </w:rPr>
            </w:pPr>
          </w:p>
        </w:tc>
        <w:tc>
          <w:tcPr>
            <w:tcW w:w="820" w:type="dxa"/>
            <w:vAlign w:val="center"/>
          </w:tcPr>
          <w:p w14:paraId="39885BBA">
            <w:pPr>
              <w:rPr>
                <w:sz w:val="28"/>
                <w:szCs w:val="28"/>
              </w:rPr>
            </w:pPr>
          </w:p>
        </w:tc>
        <w:tc>
          <w:tcPr>
            <w:tcW w:w="806" w:type="dxa"/>
            <w:vAlign w:val="center"/>
          </w:tcPr>
          <w:p w14:paraId="19A53D08">
            <w:pPr>
              <w:rPr>
                <w:sz w:val="28"/>
                <w:szCs w:val="28"/>
              </w:rPr>
            </w:pPr>
          </w:p>
        </w:tc>
      </w:tr>
      <w:tr w14:paraId="0CF5D77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317" w:hRule="atLeast"/>
          <w:tblCellSpacing w:w="15" w:type="dxa"/>
        </w:trPr>
        <w:tc>
          <w:tcPr>
            <w:tcW w:w="0" w:type="auto"/>
            <w:tcBorders>
              <w:top w:val="outset" w:color="auto" w:sz="6" w:space="0"/>
              <w:left w:val="outset" w:color="auto" w:sz="6" w:space="0"/>
              <w:bottom w:val="outset" w:color="auto" w:sz="6" w:space="0"/>
              <w:right w:val="outset" w:color="auto" w:sz="6" w:space="0"/>
            </w:tcBorders>
            <w:vAlign w:val="center"/>
          </w:tcPr>
          <w:p w14:paraId="7E72819D">
            <w:pPr>
              <w:rPr>
                <w:sz w:val="28"/>
                <w:szCs w:val="28"/>
              </w:rPr>
            </w:pPr>
            <w:r>
              <w:rPr>
                <w:sz w:val="28"/>
                <w:szCs w:val="28"/>
              </w:rPr>
              <w:t>Spectrum 1</w:t>
            </w:r>
          </w:p>
        </w:tc>
        <w:tc>
          <w:tcPr>
            <w:tcW w:w="1445" w:type="dxa"/>
            <w:tcBorders>
              <w:top w:val="outset" w:color="auto" w:sz="6" w:space="0"/>
              <w:left w:val="outset" w:color="auto" w:sz="6" w:space="0"/>
              <w:bottom w:val="outset" w:color="auto" w:sz="6" w:space="0"/>
              <w:right w:val="outset" w:color="auto" w:sz="6" w:space="0"/>
            </w:tcBorders>
            <w:vAlign w:val="center"/>
          </w:tcPr>
          <w:p w14:paraId="640812B8">
            <w:pPr>
              <w:rPr>
                <w:sz w:val="28"/>
                <w:szCs w:val="28"/>
              </w:rPr>
            </w:pPr>
            <w:r>
              <w:rPr>
                <w:sz w:val="28"/>
                <w:szCs w:val="28"/>
              </w:rPr>
              <w:t>Да</w:t>
            </w:r>
          </w:p>
        </w:tc>
        <w:tc>
          <w:tcPr>
            <w:tcW w:w="821" w:type="dxa"/>
            <w:tcBorders>
              <w:top w:val="outset" w:color="auto" w:sz="6" w:space="0"/>
              <w:left w:val="outset" w:color="auto" w:sz="6" w:space="0"/>
              <w:bottom w:val="outset" w:color="auto" w:sz="6" w:space="0"/>
              <w:right w:val="outset" w:color="auto" w:sz="6" w:space="0"/>
            </w:tcBorders>
            <w:vAlign w:val="center"/>
          </w:tcPr>
          <w:p w14:paraId="0B4E64C9">
            <w:pPr>
              <w:rPr>
                <w:sz w:val="28"/>
                <w:szCs w:val="28"/>
              </w:rPr>
            </w:pPr>
            <w:r>
              <w:rPr>
                <w:sz w:val="28"/>
                <w:szCs w:val="28"/>
              </w:rPr>
              <w:t>16.8</w:t>
            </w:r>
          </w:p>
        </w:tc>
        <w:tc>
          <w:tcPr>
            <w:tcW w:w="820" w:type="dxa"/>
            <w:tcBorders>
              <w:top w:val="outset" w:color="auto" w:sz="6" w:space="0"/>
              <w:left w:val="outset" w:color="auto" w:sz="6" w:space="0"/>
              <w:bottom w:val="outset" w:color="auto" w:sz="6" w:space="0"/>
              <w:right w:val="outset" w:color="auto" w:sz="6" w:space="0"/>
            </w:tcBorders>
            <w:vAlign w:val="center"/>
          </w:tcPr>
          <w:p w14:paraId="6D3B1F16">
            <w:pPr>
              <w:rPr>
                <w:sz w:val="28"/>
                <w:szCs w:val="28"/>
              </w:rPr>
            </w:pPr>
            <w:r>
              <w:rPr>
                <w:sz w:val="28"/>
                <w:szCs w:val="28"/>
              </w:rPr>
              <w:t>80.8</w:t>
            </w:r>
          </w:p>
        </w:tc>
        <w:tc>
          <w:tcPr>
            <w:tcW w:w="806" w:type="dxa"/>
            <w:tcBorders>
              <w:top w:val="outset" w:color="auto" w:sz="6" w:space="0"/>
              <w:left w:val="outset" w:color="auto" w:sz="6" w:space="0"/>
              <w:bottom w:val="outset" w:color="auto" w:sz="6" w:space="0"/>
              <w:right w:val="outset" w:color="auto" w:sz="6" w:space="0"/>
            </w:tcBorders>
            <w:vAlign w:val="center"/>
          </w:tcPr>
          <w:p w14:paraId="41E27907">
            <w:pPr>
              <w:rPr>
                <w:sz w:val="28"/>
                <w:szCs w:val="28"/>
              </w:rPr>
            </w:pPr>
            <w:r>
              <w:rPr>
                <w:sz w:val="28"/>
                <w:szCs w:val="28"/>
              </w:rPr>
              <w:t>2.4</w:t>
            </w:r>
          </w:p>
        </w:tc>
      </w:tr>
      <w:tr w14:paraId="608C29F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317" w:hRule="atLeast"/>
          <w:tblCellSpacing w:w="15" w:type="dxa"/>
        </w:trPr>
        <w:tc>
          <w:tcPr>
            <w:tcW w:w="0" w:type="auto"/>
            <w:tcBorders>
              <w:top w:val="outset" w:color="auto" w:sz="6" w:space="0"/>
              <w:left w:val="outset" w:color="auto" w:sz="6" w:space="0"/>
              <w:bottom w:val="outset" w:color="auto" w:sz="6" w:space="0"/>
              <w:right w:val="outset" w:color="auto" w:sz="6" w:space="0"/>
            </w:tcBorders>
            <w:vAlign w:val="center"/>
          </w:tcPr>
          <w:p w14:paraId="71096D4D">
            <w:pPr>
              <w:rPr>
                <w:sz w:val="28"/>
                <w:szCs w:val="28"/>
              </w:rPr>
            </w:pPr>
            <w:r>
              <w:rPr>
                <w:sz w:val="28"/>
                <w:szCs w:val="28"/>
              </w:rPr>
              <w:t>Spectrum 2</w:t>
            </w:r>
          </w:p>
        </w:tc>
        <w:tc>
          <w:tcPr>
            <w:tcW w:w="1445" w:type="dxa"/>
            <w:tcBorders>
              <w:top w:val="outset" w:color="auto" w:sz="6" w:space="0"/>
              <w:left w:val="outset" w:color="auto" w:sz="6" w:space="0"/>
              <w:bottom w:val="outset" w:color="auto" w:sz="6" w:space="0"/>
              <w:right w:val="outset" w:color="auto" w:sz="6" w:space="0"/>
            </w:tcBorders>
            <w:vAlign w:val="center"/>
          </w:tcPr>
          <w:p w14:paraId="7F0C3C29">
            <w:pPr>
              <w:rPr>
                <w:sz w:val="28"/>
                <w:szCs w:val="28"/>
              </w:rPr>
            </w:pPr>
            <w:r>
              <w:rPr>
                <w:sz w:val="28"/>
                <w:szCs w:val="28"/>
              </w:rPr>
              <w:t>Да</w:t>
            </w:r>
          </w:p>
        </w:tc>
        <w:tc>
          <w:tcPr>
            <w:tcW w:w="821" w:type="dxa"/>
            <w:tcBorders>
              <w:top w:val="outset" w:color="auto" w:sz="6" w:space="0"/>
              <w:left w:val="outset" w:color="auto" w:sz="6" w:space="0"/>
              <w:bottom w:val="outset" w:color="auto" w:sz="6" w:space="0"/>
              <w:right w:val="outset" w:color="auto" w:sz="6" w:space="0"/>
            </w:tcBorders>
            <w:vAlign w:val="center"/>
          </w:tcPr>
          <w:p w14:paraId="275929CD">
            <w:pPr>
              <w:rPr>
                <w:sz w:val="28"/>
                <w:szCs w:val="28"/>
              </w:rPr>
            </w:pPr>
            <w:r>
              <w:rPr>
                <w:sz w:val="28"/>
                <w:szCs w:val="28"/>
              </w:rPr>
              <w:t>16.8</w:t>
            </w:r>
          </w:p>
        </w:tc>
        <w:tc>
          <w:tcPr>
            <w:tcW w:w="820" w:type="dxa"/>
            <w:tcBorders>
              <w:top w:val="outset" w:color="auto" w:sz="6" w:space="0"/>
              <w:left w:val="outset" w:color="auto" w:sz="6" w:space="0"/>
              <w:bottom w:val="outset" w:color="auto" w:sz="6" w:space="0"/>
              <w:right w:val="outset" w:color="auto" w:sz="6" w:space="0"/>
            </w:tcBorders>
            <w:vAlign w:val="center"/>
          </w:tcPr>
          <w:p w14:paraId="7E511A64">
            <w:pPr>
              <w:rPr>
                <w:sz w:val="28"/>
                <w:szCs w:val="28"/>
              </w:rPr>
            </w:pPr>
            <w:r>
              <w:rPr>
                <w:sz w:val="28"/>
                <w:szCs w:val="28"/>
              </w:rPr>
              <w:t>81.0</w:t>
            </w:r>
          </w:p>
        </w:tc>
        <w:tc>
          <w:tcPr>
            <w:tcW w:w="806" w:type="dxa"/>
            <w:tcBorders>
              <w:top w:val="outset" w:color="auto" w:sz="6" w:space="0"/>
              <w:left w:val="outset" w:color="auto" w:sz="6" w:space="0"/>
              <w:bottom w:val="outset" w:color="auto" w:sz="6" w:space="0"/>
              <w:right w:val="outset" w:color="auto" w:sz="6" w:space="0"/>
            </w:tcBorders>
            <w:vAlign w:val="center"/>
          </w:tcPr>
          <w:p w14:paraId="48EBE57A">
            <w:pPr>
              <w:rPr>
                <w:sz w:val="28"/>
                <w:szCs w:val="28"/>
              </w:rPr>
            </w:pPr>
            <w:r>
              <w:rPr>
                <w:sz w:val="28"/>
                <w:szCs w:val="28"/>
              </w:rPr>
              <w:t>2.2</w:t>
            </w:r>
          </w:p>
        </w:tc>
      </w:tr>
      <w:tr w14:paraId="195636E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327" w:hRule="atLeast"/>
          <w:tblCellSpacing w:w="15" w:type="dxa"/>
        </w:trPr>
        <w:tc>
          <w:tcPr>
            <w:tcW w:w="0" w:type="auto"/>
            <w:tcBorders>
              <w:top w:val="outset" w:color="auto" w:sz="6" w:space="0"/>
              <w:left w:val="outset" w:color="auto" w:sz="6" w:space="0"/>
              <w:bottom w:val="outset" w:color="auto" w:sz="6" w:space="0"/>
              <w:right w:val="outset" w:color="auto" w:sz="6" w:space="0"/>
            </w:tcBorders>
            <w:vAlign w:val="center"/>
          </w:tcPr>
          <w:p w14:paraId="009F6B1F">
            <w:pPr>
              <w:rPr>
                <w:sz w:val="28"/>
                <w:szCs w:val="28"/>
              </w:rPr>
            </w:pPr>
            <w:r>
              <w:rPr>
                <w:sz w:val="28"/>
                <w:szCs w:val="28"/>
              </w:rPr>
              <w:t>Spectrum 3</w:t>
            </w:r>
          </w:p>
        </w:tc>
        <w:tc>
          <w:tcPr>
            <w:tcW w:w="1445" w:type="dxa"/>
            <w:tcBorders>
              <w:top w:val="outset" w:color="auto" w:sz="6" w:space="0"/>
              <w:left w:val="outset" w:color="auto" w:sz="6" w:space="0"/>
              <w:bottom w:val="outset" w:color="auto" w:sz="6" w:space="0"/>
              <w:right w:val="outset" w:color="auto" w:sz="6" w:space="0"/>
            </w:tcBorders>
            <w:vAlign w:val="center"/>
          </w:tcPr>
          <w:p w14:paraId="7E5C3EC8">
            <w:pPr>
              <w:rPr>
                <w:sz w:val="28"/>
                <w:szCs w:val="28"/>
              </w:rPr>
            </w:pPr>
            <w:r>
              <w:rPr>
                <w:sz w:val="28"/>
                <w:szCs w:val="28"/>
              </w:rPr>
              <w:t>Да</w:t>
            </w:r>
          </w:p>
        </w:tc>
        <w:tc>
          <w:tcPr>
            <w:tcW w:w="821" w:type="dxa"/>
            <w:tcBorders>
              <w:top w:val="outset" w:color="auto" w:sz="6" w:space="0"/>
              <w:left w:val="outset" w:color="auto" w:sz="6" w:space="0"/>
              <w:bottom w:val="outset" w:color="auto" w:sz="6" w:space="0"/>
              <w:right w:val="outset" w:color="auto" w:sz="6" w:space="0"/>
            </w:tcBorders>
            <w:vAlign w:val="center"/>
          </w:tcPr>
          <w:p w14:paraId="0BBA6092">
            <w:pPr>
              <w:rPr>
                <w:sz w:val="28"/>
                <w:szCs w:val="28"/>
              </w:rPr>
            </w:pPr>
            <w:r>
              <w:rPr>
                <w:sz w:val="28"/>
                <w:szCs w:val="28"/>
              </w:rPr>
              <w:t>16.7</w:t>
            </w:r>
          </w:p>
        </w:tc>
        <w:tc>
          <w:tcPr>
            <w:tcW w:w="820" w:type="dxa"/>
            <w:tcBorders>
              <w:top w:val="outset" w:color="auto" w:sz="6" w:space="0"/>
              <w:left w:val="outset" w:color="auto" w:sz="6" w:space="0"/>
              <w:bottom w:val="outset" w:color="auto" w:sz="6" w:space="0"/>
              <w:right w:val="outset" w:color="auto" w:sz="6" w:space="0"/>
            </w:tcBorders>
            <w:vAlign w:val="center"/>
          </w:tcPr>
          <w:p w14:paraId="5800CB25">
            <w:pPr>
              <w:rPr>
                <w:sz w:val="28"/>
                <w:szCs w:val="28"/>
              </w:rPr>
            </w:pPr>
            <w:r>
              <w:rPr>
                <w:sz w:val="28"/>
                <w:szCs w:val="28"/>
              </w:rPr>
              <w:t>81.3</w:t>
            </w:r>
          </w:p>
        </w:tc>
        <w:tc>
          <w:tcPr>
            <w:tcW w:w="806" w:type="dxa"/>
            <w:tcBorders>
              <w:top w:val="outset" w:color="auto" w:sz="6" w:space="0"/>
              <w:left w:val="outset" w:color="auto" w:sz="6" w:space="0"/>
              <w:bottom w:val="outset" w:color="auto" w:sz="6" w:space="0"/>
              <w:right w:val="outset" w:color="auto" w:sz="6" w:space="0"/>
            </w:tcBorders>
            <w:vAlign w:val="center"/>
          </w:tcPr>
          <w:p w14:paraId="6891D45E">
            <w:pPr>
              <w:rPr>
                <w:sz w:val="28"/>
                <w:szCs w:val="28"/>
              </w:rPr>
            </w:pPr>
            <w:r>
              <w:rPr>
                <w:sz w:val="28"/>
                <w:szCs w:val="28"/>
              </w:rPr>
              <w:t>2.1</w:t>
            </w:r>
          </w:p>
        </w:tc>
      </w:tr>
      <w:tr w14:paraId="4063262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trHeight w:val="317" w:hRule="atLeast"/>
          <w:tblCellSpacing w:w="15" w:type="dxa"/>
        </w:trPr>
        <w:tc>
          <w:tcPr>
            <w:tcW w:w="0" w:type="auto"/>
            <w:tcBorders>
              <w:top w:val="outset" w:color="auto" w:sz="6" w:space="0"/>
              <w:left w:val="outset" w:color="auto" w:sz="6" w:space="0"/>
              <w:bottom w:val="outset" w:color="auto" w:sz="6" w:space="0"/>
              <w:right w:val="outset" w:color="auto" w:sz="6" w:space="0"/>
            </w:tcBorders>
            <w:vAlign w:val="center"/>
          </w:tcPr>
          <w:p w14:paraId="7AD52849">
            <w:pPr>
              <w:rPr>
                <w:sz w:val="28"/>
                <w:szCs w:val="28"/>
              </w:rPr>
            </w:pPr>
            <w:r>
              <w:rPr>
                <w:sz w:val="28"/>
                <w:szCs w:val="28"/>
              </w:rPr>
              <w:t>Spectrum 4</w:t>
            </w:r>
          </w:p>
        </w:tc>
        <w:tc>
          <w:tcPr>
            <w:tcW w:w="1445" w:type="dxa"/>
            <w:tcBorders>
              <w:top w:val="outset" w:color="auto" w:sz="6" w:space="0"/>
              <w:left w:val="outset" w:color="auto" w:sz="6" w:space="0"/>
              <w:bottom w:val="outset" w:color="auto" w:sz="6" w:space="0"/>
              <w:right w:val="outset" w:color="auto" w:sz="6" w:space="0"/>
            </w:tcBorders>
            <w:vAlign w:val="center"/>
          </w:tcPr>
          <w:p w14:paraId="34D2308E">
            <w:pPr>
              <w:rPr>
                <w:sz w:val="28"/>
                <w:szCs w:val="28"/>
              </w:rPr>
            </w:pPr>
            <w:r>
              <w:rPr>
                <w:sz w:val="28"/>
                <w:szCs w:val="28"/>
              </w:rPr>
              <w:t>Да</w:t>
            </w:r>
          </w:p>
        </w:tc>
        <w:tc>
          <w:tcPr>
            <w:tcW w:w="821" w:type="dxa"/>
            <w:tcBorders>
              <w:top w:val="outset" w:color="auto" w:sz="6" w:space="0"/>
              <w:left w:val="outset" w:color="auto" w:sz="6" w:space="0"/>
              <w:bottom w:val="outset" w:color="auto" w:sz="6" w:space="0"/>
              <w:right w:val="outset" w:color="auto" w:sz="6" w:space="0"/>
            </w:tcBorders>
            <w:vAlign w:val="center"/>
          </w:tcPr>
          <w:p w14:paraId="7E5A02EB">
            <w:pPr>
              <w:rPr>
                <w:sz w:val="28"/>
                <w:szCs w:val="28"/>
              </w:rPr>
            </w:pPr>
            <w:r>
              <w:rPr>
                <w:sz w:val="28"/>
                <w:szCs w:val="28"/>
              </w:rPr>
              <w:t>16.4</w:t>
            </w:r>
          </w:p>
        </w:tc>
        <w:tc>
          <w:tcPr>
            <w:tcW w:w="820" w:type="dxa"/>
            <w:tcBorders>
              <w:top w:val="outset" w:color="auto" w:sz="6" w:space="0"/>
              <w:left w:val="outset" w:color="auto" w:sz="6" w:space="0"/>
              <w:bottom w:val="outset" w:color="auto" w:sz="6" w:space="0"/>
              <w:right w:val="outset" w:color="auto" w:sz="6" w:space="0"/>
            </w:tcBorders>
            <w:vAlign w:val="center"/>
          </w:tcPr>
          <w:p w14:paraId="5B21670C">
            <w:pPr>
              <w:rPr>
                <w:sz w:val="28"/>
                <w:szCs w:val="28"/>
              </w:rPr>
            </w:pPr>
            <w:r>
              <w:rPr>
                <w:sz w:val="28"/>
                <w:szCs w:val="28"/>
              </w:rPr>
              <w:t>81.5</w:t>
            </w:r>
          </w:p>
        </w:tc>
        <w:tc>
          <w:tcPr>
            <w:tcW w:w="806" w:type="dxa"/>
            <w:tcBorders>
              <w:top w:val="outset" w:color="auto" w:sz="6" w:space="0"/>
              <w:left w:val="outset" w:color="auto" w:sz="6" w:space="0"/>
              <w:bottom w:val="outset" w:color="auto" w:sz="6" w:space="0"/>
              <w:right w:val="outset" w:color="auto" w:sz="6" w:space="0"/>
            </w:tcBorders>
            <w:vAlign w:val="center"/>
          </w:tcPr>
          <w:p w14:paraId="707A64C5">
            <w:pPr>
              <w:rPr>
                <w:sz w:val="28"/>
                <w:szCs w:val="28"/>
              </w:rPr>
            </w:pPr>
            <w:r>
              <w:rPr>
                <w:sz w:val="28"/>
                <w:szCs w:val="28"/>
              </w:rPr>
              <w:t>2.2</w:t>
            </w:r>
          </w:p>
        </w:tc>
      </w:tr>
      <w:tr w14:paraId="57DF0A0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327" w:hRule="atLeast"/>
          <w:tblCellSpacing w:w="15" w:type="dxa"/>
        </w:trPr>
        <w:tc>
          <w:tcPr>
            <w:tcW w:w="0" w:type="auto"/>
            <w:tcBorders>
              <w:top w:val="outset" w:color="auto" w:sz="6" w:space="0"/>
              <w:left w:val="outset" w:color="auto" w:sz="6" w:space="0"/>
              <w:bottom w:val="outset" w:color="auto" w:sz="6" w:space="0"/>
              <w:right w:val="outset" w:color="auto" w:sz="6" w:space="0"/>
            </w:tcBorders>
            <w:vAlign w:val="center"/>
          </w:tcPr>
          <w:p w14:paraId="04FF2A92">
            <w:pPr>
              <w:rPr>
                <w:sz w:val="28"/>
                <w:szCs w:val="28"/>
              </w:rPr>
            </w:pPr>
            <w:r>
              <w:rPr>
                <w:sz w:val="28"/>
                <w:szCs w:val="28"/>
              </w:rPr>
              <w:t>Spectrum 5</w:t>
            </w:r>
          </w:p>
        </w:tc>
        <w:tc>
          <w:tcPr>
            <w:tcW w:w="1445" w:type="dxa"/>
            <w:tcBorders>
              <w:top w:val="outset" w:color="auto" w:sz="6" w:space="0"/>
              <w:left w:val="outset" w:color="auto" w:sz="6" w:space="0"/>
              <w:bottom w:val="outset" w:color="auto" w:sz="6" w:space="0"/>
              <w:right w:val="outset" w:color="auto" w:sz="6" w:space="0"/>
            </w:tcBorders>
            <w:vAlign w:val="center"/>
          </w:tcPr>
          <w:p w14:paraId="28FEB7A3">
            <w:pPr>
              <w:rPr>
                <w:sz w:val="28"/>
                <w:szCs w:val="28"/>
              </w:rPr>
            </w:pPr>
            <w:r>
              <w:rPr>
                <w:sz w:val="28"/>
                <w:szCs w:val="28"/>
              </w:rPr>
              <w:t>Да</w:t>
            </w:r>
          </w:p>
        </w:tc>
        <w:tc>
          <w:tcPr>
            <w:tcW w:w="821" w:type="dxa"/>
            <w:tcBorders>
              <w:top w:val="outset" w:color="auto" w:sz="6" w:space="0"/>
              <w:left w:val="outset" w:color="auto" w:sz="6" w:space="0"/>
              <w:bottom w:val="outset" w:color="auto" w:sz="6" w:space="0"/>
              <w:right w:val="outset" w:color="auto" w:sz="6" w:space="0"/>
            </w:tcBorders>
            <w:vAlign w:val="center"/>
          </w:tcPr>
          <w:p w14:paraId="6088B39D">
            <w:pPr>
              <w:rPr>
                <w:sz w:val="28"/>
                <w:szCs w:val="28"/>
              </w:rPr>
            </w:pPr>
            <w:r>
              <w:rPr>
                <w:sz w:val="28"/>
                <w:szCs w:val="28"/>
              </w:rPr>
              <w:t>16.5</w:t>
            </w:r>
          </w:p>
        </w:tc>
        <w:tc>
          <w:tcPr>
            <w:tcW w:w="820" w:type="dxa"/>
            <w:tcBorders>
              <w:top w:val="outset" w:color="auto" w:sz="6" w:space="0"/>
              <w:left w:val="outset" w:color="auto" w:sz="6" w:space="0"/>
              <w:bottom w:val="outset" w:color="auto" w:sz="6" w:space="0"/>
              <w:right w:val="outset" w:color="auto" w:sz="6" w:space="0"/>
            </w:tcBorders>
            <w:vAlign w:val="center"/>
          </w:tcPr>
          <w:p w14:paraId="3903FB27">
            <w:pPr>
              <w:rPr>
                <w:sz w:val="28"/>
                <w:szCs w:val="28"/>
              </w:rPr>
            </w:pPr>
            <w:r>
              <w:rPr>
                <w:sz w:val="28"/>
                <w:szCs w:val="28"/>
              </w:rPr>
              <w:t>81.2</w:t>
            </w:r>
          </w:p>
        </w:tc>
        <w:tc>
          <w:tcPr>
            <w:tcW w:w="806" w:type="dxa"/>
            <w:tcBorders>
              <w:top w:val="outset" w:color="auto" w:sz="6" w:space="0"/>
              <w:left w:val="outset" w:color="auto" w:sz="6" w:space="0"/>
              <w:bottom w:val="outset" w:color="auto" w:sz="6" w:space="0"/>
              <w:right w:val="outset" w:color="auto" w:sz="6" w:space="0"/>
            </w:tcBorders>
            <w:vAlign w:val="center"/>
          </w:tcPr>
          <w:p w14:paraId="6651F90F">
            <w:pPr>
              <w:rPr>
                <w:sz w:val="28"/>
                <w:szCs w:val="28"/>
              </w:rPr>
            </w:pPr>
            <w:r>
              <w:rPr>
                <w:sz w:val="28"/>
                <w:szCs w:val="28"/>
              </w:rPr>
              <w:t>2.3</w:t>
            </w:r>
          </w:p>
        </w:tc>
      </w:tr>
      <w:tr w14:paraId="614108D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tcBorders>
              <w:top w:val="outset" w:color="auto" w:sz="6" w:space="0"/>
              <w:left w:val="outset" w:color="auto" w:sz="6" w:space="0"/>
              <w:bottom w:val="outset" w:color="auto" w:sz="6" w:space="0"/>
              <w:right w:val="outset" w:color="auto" w:sz="6" w:space="0"/>
            </w:tcBorders>
            <w:vAlign w:val="center"/>
          </w:tcPr>
          <w:p w14:paraId="205D19CD">
            <w:pPr>
              <w:rPr>
                <w:sz w:val="28"/>
                <w:szCs w:val="28"/>
              </w:rPr>
            </w:pPr>
          </w:p>
        </w:tc>
        <w:tc>
          <w:tcPr>
            <w:tcW w:w="1445" w:type="dxa"/>
            <w:tcBorders>
              <w:top w:val="outset" w:color="auto" w:sz="6" w:space="0"/>
              <w:left w:val="outset" w:color="auto" w:sz="6" w:space="0"/>
              <w:bottom w:val="outset" w:color="auto" w:sz="6" w:space="0"/>
              <w:right w:val="outset" w:color="auto" w:sz="6" w:space="0"/>
            </w:tcBorders>
            <w:vAlign w:val="center"/>
          </w:tcPr>
          <w:p w14:paraId="186ACC70">
            <w:pPr>
              <w:rPr>
                <w:sz w:val="28"/>
                <w:szCs w:val="28"/>
              </w:rPr>
            </w:pPr>
          </w:p>
        </w:tc>
        <w:tc>
          <w:tcPr>
            <w:tcW w:w="821" w:type="dxa"/>
            <w:vAlign w:val="center"/>
          </w:tcPr>
          <w:p w14:paraId="7A697472">
            <w:pPr>
              <w:rPr>
                <w:sz w:val="28"/>
                <w:szCs w:val="28"/>
              </w:rPr>
            </w:pPr>
          </w:p>
        </w:tc>
        <w:tc>
          <w:tcPr>
            <w:tcW w:w="820" w:type="dxa"/>
            <w:vAlign w:val="center"/>
          </w:tcPr>
          <w:p w14:paraId="1A415703">
            <w:pPr>
              <w:rPr>
                <w:sz w:val="28"/>
                <w:szCs w:val="28"/>
              </w:rPr>
            </w:pPr>
          </w:p>
        </w:tc>
        <w:tc>
          <w:tcPr>
            <w:tcW w:w="806" w:type="dxa"/>
            <w:vAlign w:val="center"/>
          </w:tcPr>
          <w:p w14:paraId="0C791433">
            <w:pPr>
              <w:rPr>
                <w:sz w:val="28"/>
                <w:szCs w:val="28"/>
              </w:rPr>
            </w:pPr>
          </w:p>
        </w:tc>
      </w:tr>
      <w:tr w14:paraId="013332A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trHeight w:val="327" w:hRule="atLeast"/>
          <w:tblCellSpacing w:w="15" w:type="dxa"/>
        </w:trPr>
        <w:tc>
          <w:tcPr>
            <w:tcW w:w="0" w:type="auto"/>
            <w:tcBorders>
              <w:top w:val="outset" w:color="auto" w:sz="6" w:space="0"/>
              <w:left w:val="outset" w:color="auto" w:sz="6" w:space="0"/>
              <w:bottom w:val="outset" w:color="auto" w:sz="6" w:space="0"/>
              <w:right w:val="outset" w:color="auto" w:sz="6" w:space="0"/>
            </w:tcBorders>
            <w:vAlign w:val="center"/>
          </w:tcPr>
          <w:p w14:paraId="587AD570">
            <w:pPr>
              <w:rPr>
                <w:sz w:val="28"/>
                <w:szCs w:val="28"/>
              </w:rPr>
            </w:pPr>
            <w:r>
              <w:rPr>
                <w:sz w:val="28"/>
                <w:szCs w:val="28"/>
              </w:rPr>
              <w:t>Среднее</w:t>
            </w:r>
          </w:p>
        </w:tc>
        <w:tc>
          <w:tcPr>
            <w:tcW w:w="1445" w:type="dxa"/>
            <w:tcBorders>
              <w:top w:val="outset" w:color="auto" w:sz="6" w:space="0"/>
              <w:left w:val="outset" w:color="auto" w:sz="6" w:space="0"/>
              <w:bottom w:val="outset" w:color="auto" w:sz="6" w:space="0"/>
              <w:right w:val="outset" w:color="auto" w:sz="6" w:space="0"/>
            </w:tcBorders>
            <w:vAlign w:val="center"/>
          </w:tcPr>
          <w:p w14:paraId="02FB748E">
            <w:pPr>
              <w:rPr>
                <w:sz w:val="28"/>
                <w:szCs w:val="28"/>
              </w:rPr>
            </w:pPr>
          </w:p>
        </w:tc>
        <w:tc>
          <w:tcPr>
            <w:tcW w:w="821" w:type="dxa"/>
            <w:tcBorders>
              <w:top w:val="outset" w:color="auto" w:sz="6" w:space="0"/>
              <w:left w:val="outset" w:color="auto" w:sz="6" w:space="0"/>
              <w:bottom w:val="outset" w:color="auto" w:sz="6" w:space="0"/>
              <w:right w:val="outset" w:color="auto" w:sz="6" w:space="0"/>
            </w:tcBorders>
            <w:vAlign w:val="center"/>
          </w:tcPr>
          <w:p w14:paraId="72D9FD4C">
            <w:pPr>
              <w:rPr>
                <w:sz w:val="28"/>
                <w:szCs w:val="28"/>
              </w:rPr>
            </w:pPr>
            <w:r>
              <w:rPr>
                <w:sz w:val="28"/>
                <w:szCs w:val="28"/>
              </w:rPr>
              <w:t>16.6</w:t>
            </w:r>
          </w:p>
        </w:tc>
        <w:tc>
          <w:tcPr>
            <w:tcW w:w="820" w:type="dxa"/>
            <w:tcBorders>
              <w:top w:val="outset" w:color="auto" w:sz="6" w:space="0"/>
              <w:left w:val="outset" w:color="auto" w:sz="6" w:space="0"/>
              <w:bottom w:val="outset" w:color="auto" w:sz="6" w:space="0"/>
              <w:right w:val="outset" w:color="auto" w:sz="6" w:space="0"/>
            </w:tcBorders>
            <w:vAlign w:val="center"/>
          </w:tcPr>
          <w:p w14:paraId="1D358D64">
            <w:pPr>
              <w:rPr>
                <w:sz w:val="28"/>
                <w:szCs w:val="28"/>
              </w:rPr>
            </w:pPr>
            <w:r>
              <w:rPr>
                <w:sz w:val="28"/>
                <w:szCs w:val="28"/>
              </w:rPr>
              <w:t>81.1</w:t>
            </w:r>
          </w:p>
        </w:tc>
        <w:tc>
          <w:tcPr>
            <w:tcW w:w="806" w:type="dxa"/>
            <w:tcBorders>
              <w:top w:val="outset" w:color="auto" w:sz="6" w:space="0"/>
              <w:left w:val="outset" w:color="auto" w:sz="6" w:space="0"/>
              <w:bottom w:val="outset" w:color="auto" w:sz="6" w:space="0"/>
              <w:right w:val="outset" w:color="auto" w:sz="6" w:space="0"/>
            </w:tcBorders>
            <w:vAlign w:val="center"/>
          </w:tcPr>
          <w:p w14:paraId="031CEBA0">
            <w:pPr>
              <w:rPr>
                <w:sz w:val="28"/>
                <w:szCs w:val="28"/>
              </w:rPr>
            </w:pPr>
            <w:r>
              <w:rPr>
                <w:sz w:val="28"/>
                <w:szCs w:val="28"/>
              </w:rPr>
              <w:t>2.2</w:t>
            </w:r>
          </w:p>
        </w:tc>
      </w:tr>
      <w:tr w14:paraId="577AAA7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327" w:hRule="atLeast"/>
          <w:tblCellSpacing w:w="15" w:type="dxa"/>
        </w:trPr>
        <w:tc>
          <w:tcPr>
            <w:tcW w:w="0" w:type="auto"/>
            <w:tcBorders>
              <w:top w:val="outset" w:color="auto" w:sz="6" w:space="0"/>
              <w:left w:val="outset" w:color="auto" w:sz="6" w:space="0"/>
              <w:bottom w:val="outset" w:color="auto" w:sz="6" w:space="0"/>
              <w:right w:val="outset" w:color="auto" w:sz="6" w:space="0"/>
            </w:tcBorders>
            <w:vAlign w:val="center"/>
          </w:tcPr>
          <w:p w14:paraId="55AFA823">
            <w:pPr>
              <w:rPr>
                <w:sz w:val="28"/>
                <w:szCs w:val="28"/>
              </w:rPr>
            </w:pPr>
            <w:r>
              <w:rPr>
                <w:sz w:val="28"/>
                <w:szCs w:val="28"/>
              </w:rPr>
              <w:t>Станд. отклонение</w:t>
            </w:r>
          </w:p>
        </w:tc>
        <w:tc>
          <w:tcPr>
            <w:tcW w:w="1445" w:type="dxa"/>
            <w:tcBorders>
              <w:top w:val="outset" w:color="auto" w:sz="6" w:space="0"/>
              <w:left w:val="outset" w:color="auto" w:sz="6" w:space="0"/>
              <w:bottom w:val="outset" w:color="auto" w:sz="6" w:space="0"/>
              <w:right w:val="outset" w:color="auto" w:sz="6" w:space="0"/>
            </w:tcBorders>
            <w:vAlign w:val="center"/>
          </w:tcPr>
          <w:p w14:paraId="6C54EEF3">
            <w:pPr>
              <w:rPr>
                <w:sz w:val="28"/>
                <w:szCs w:val="28"/>
              </w:rPr>
            </w:pPr>
          </w:p>
        </w:tc>
        <w:tc>
          <w:tcPr>
            <w:tcW w:w="821" w:type="dxa"/>
            <w:tcBorders>
              <w:top w:val="outset" w:color="auto" w:sz="6" w:space="0"/>
              <w:left w:val="outset" w:color="auto" w:sz="6" w:space="0"/>
              <w:bottom w:val="outset" w:color="auto" w:sz="6" w:space="0"/>
              <w:right w:val="outset" w:color="auto" w:sz="6" w:space="0"/>
            </w:tcBorders>
            <w:vAlign w:val="center"/>
          </w:tcPr>
          <w:p w14:paraId="6E83DBB6">
            <w:pPr>
              <w:rPr>
                <w:sz w:val="28"/>
                <w:szCs w:val="28"/>
              </w:rPr>
            </w:pPr>
            <w:r>
              <w:rPr>
                <w:sz w:val="28"/>
                <w:szCs w:val="28"/>
              </w:rPr>
              <w:t>0.3</w:t>
            </w:r>
          </w:p>
        </w:tc>
        <w:tc>
          <w:tcPr>
            <w:tcW w:w="820" w:type="dxa"/>
            <w:tcBorders>
              <w:top w:val="outset" w:color="auto" w:sz="6" w:space="0"/>
              <w:left w:val="outset" w:color="auto" w:sz="6" w:space="0"/>
              <w:bottom w:val="outset" w:color="auto" w:sz="6" w:space="0"/>
              <w:right w:val="outset" w:color="auto" w:sz="6" w:space="0"/>
            </w:tcBorders>
            <w:vAlign w:val="center"/>
          </w:tcPr>
          <w:p w14:paraId="34B04B45">
            <w:pPr>
              <w:rPr>
                <w:sz w:val="28"/>
                <w:szCs w:val="28"/>
              </w:rPr>
            </w:pPr>
            <w:r>
              <w:rPr>
                <w:sz w:val="28"/>
                <w:szCs w:val="28"/>
              </w:rPr>
              <w:t>0.3</w:t>
            </w:r>
          </w:p>
        </w:tc>
        <w:tc>
          <w:tcPr>
            <w:tcW w:w="806" w:type="dxa"/>
            <w:tcBorders>
              <w:top w:val="outset" w:color="auto" w:sz="6" w:space="0"/>
              <w:left w:val="outset" w:color="auto" w:sz="6" w:space="0"/>
              <w:bottom w:val="outset" w:color="auto" w:sz="6" w:space="0"/>
              <w:right w:val="outset" w:color="auto" w:sz="6" w:space="0"/>
            </w:tcBorders>
            <w:vAlign w:val="center"/>
          </w:tcPr>
          <w:p w14:paraId="2A3835A8">
            <w:pPr>
              <w:rPr>
                <w:sz w:val="28"/>
                <w:szCs w:val="28"/>
              </w:rPr>
            </w:pPr>
            <w:r>
              <w:rPr>
                <w:sz w:val="28"/>
                <w:szCs w:val="28"/>
              </w:rPr>
              <w:t>0.1</w:t>
            </w:r>
          </w:p>
        </w:tc>
      </w:tr>
    </w:tbl>
    <w:p w14:paraId="4CE4B386">
      <w:pPr>
        <w:spacing w:before="120"/>
        <w:jc w:val="center"/>
      </w:pPr>
      <w:r>
        <w:drawing>
          <wp:inline distT="0" distB="0" distL="0" distR="0">
            <wp:extent cx="2311400" cy="1839595"/>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12359" cy="1840449"/>
                    </a:xfrm>
                    <a:prstGeom prst="rect">
                      <a:avLst/>
                    </a:prstGeom>
                  </pic:spPr>
                </pic:pic>
              </a:graphicData>
            </a:graphic>
          </wp:inline>
        </w:drawing>
      </w:r>
      <w:r>
        <w:drawing>
          <wp:inline distT="0" distB="0" distL="0" distR="0">
            <wp:extent cx="3248025" cy="1828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50802" cy="1830091"/>
                    </a:xfrm>
                    <a:prstGeom prst="rect">
                      <a:avLst/>
                    </a:prstGeom>
                  </pic:spPr>
                </pic:pic>
              </a:graphicData>
            </a:graphic>
          </wp:inline>
        </w:drawing>
      </w:r>
    </w:p>
    <w:p w14:paraId="0B38AD4B">
      <w:pPr>
        <w:spacing w:before="120"/>
        <w:rPr>
          <w:i/>
        </w:rPr>
      </w:pPr>
      <w:r>
        <w:tab/>
      </w:r>
      <w:r>
        <w:tab/>
      </w:r>
      <w:r>
        <w:tab/>
      </w:r>
      <w:r>
        <w:tab/>
      </w:r>
      <w:r>
        <w:rPr>
          <w:i/>
        </w:rPr>
        <w:t>(а)</w:t>
      </w:r>
      <w:r>
        <w:tab/>
      </w:r>
      <w:r>
        <w:tab/>
      </w:r>
      <w:r>
        <w:tab/>
      </w:r>
      <w:r>
        <w:tab/>
      </w:r>
      <w:r>
        <w:tab/>
      </w:r>
      <w:r>
        <w:tab/>
      </w:r>
      <w:r>
        <w:rPr>
          <w:i/>
        </w:rPr>
        <w:t>(б)</w:t>
      </w:r>
    </w:p>
    <w:p w14:paraId="722CAEAD">
      <w:pPr>
        <w:pStyle w:val="10"/>
        <w:spacing w:after="360"/>
        <w:jc w:val="center"/>
        <w:rPr>
          <w:rFonts w:ascii="Times New Roman" w:hAnsi="Times New Roman" w:cs="Times New Roman"/>
          <w:i w:val="0"/>
          <w:sz w:val="28"/>
          <w:szCs w:val="28"/>
        </w:rPr>
      </w:pPr>
      <w:r>
        <w:rPr>
          <w:rFonts w:ascii="Times New Roman" w:hAnsi="Times New Roman" w:cs="Times New Roman"/>
          <w:sz w:val="28"/>
          <w:szCs w:val="28"/>
        </w:rPr>
        <w:t xml:space="preserve">Рисунок 11. </w:t>
      </w:r>
      <w:r>
        <w:rPr>
          <w:rFonts w:ascii="Times New Roman" w:hAnsi="Times New Roman" w:cs="Times New Roman"/>
          <w:i w:val="0"/>
          <w:sz w:val="28"/>
          <w:szCs w:val="28"/>
        </w:rPr>
        <w:t xml:space="preserve">ЛРСА, микрофотография образца послойно осажденных </w:t>
      </w:r>
      <w:r>
        <w:rPr>
          <w:rFonts w:ascii="Times New Roman" w:hAnsi="Times New Roman" w:cs="Times New Roman"/>
          <w:i w:val="0"/>
          <w:sz w:val="28"/>
          <w:szCs w:val="28"/>
          <w:lang w:val="en-US"/>
        </w:rPr>
        <w:t>Ni</w:t>
      </w:r>
      <w:r>
        <w:rPr>
          <w:rFonts w:ascii="Times New Roman" w:hAnsi="Times New Roman" w:cs="Times New Roman"/>
          <w:i w:val="0"/>
          <w:sz w:val="28"/>
          <w:szCs w:val="28"/>
        </w:rPr>
        <w:t xml:space="preserve">, </w:t>
      </w:r>
      <w:r>
        <w:rPr>
          <w:rFonts w:ascii="Times New Roman" w:hAnsi="Times New Roman" w:cs="Times New Roman"/>
          <w:i w:val="0"/>
          <w:sz w:val="28"/>
          <w:szCs w:val="28"/>
          <w:lang w:val="en-US"/>
        </w:rPr>
        <w:t>Cr</w:t>
      </w:r>
      <w:r>
        <w:rPr>
          <w:rFonts w:ascii="Times New Roman" w:hAnsi="Times New Roman" w:cs="Times New Roman"/>
          <w:i w:val="0"/>
          <w:sz w:val="28"/>
          <w:szCs w:val="28"/>
        </w:rPr>
        <w:t xml:space="preserve"> на </w:t>
      </w:r>
      <w:r>
        <w:rPr>
          <w:rFonts w:ascii="Times New Roman" w:hAnsi="Times New Roman" w:cs="Times New Roman"/>
          <w:i w:val="0"/>
          <w:sz w:val="28"/>
          <w:szCs w:val="28"/>
          <w:lang w:val="en-US"/>
        </w:rPr>
        <w:t>Cu</w:t>
      </w:r>
      <w:r>
        <w:rPr>
          <w:rFonts w:ascii="Times New Roman" w:hAnsi="Times New Roman" w:cs="Times New Roman"/>
          <w:i w:val="0"/>
          <w:sz w:val="28"/>
          <w:szCs w:val="28"/>
        </w:rPr>
        <w:t xml:space="preserve"> (а), спектр послойно осажденных никеля, затем хрома на медную пластину (б).</w:t>
      </w:r>
    </w:p>
    <w:p w14:paraId="3F4BCFE5">
      <w:pPr>
        <w:pStyle w:val="10"/>
        <w:spacing w:after="360" w:line="360" w:lineRule="auto"/>
        <w:ind w:firstLine="709"/>
        <w:jc w:val="both"/>
        <w:rPr>
          <w:rFonts w:ascii="Times New Roman" w:hAnsi="Times New Roman" w:cs="Times New Roman"/>
          <w:i w:val="0"/>
          <w:sz w:val="28"/>
          <w:szCs w:val="28"/>
        </w:rPr>
      </w:pPr>
      <w:r>
        <w:rPr>
          <w:rFonts w:ascii="Times New Roman" w:hAnsi="Times New Roman" w:cs="Times New Roman"/>
          <w:i w:val="0"/>
          <w:sz w:val="28"/>
          <w:szCs w:val="28"/>
        </w:rPr>
        <w:t>Послойное осаждение никеля и хрома на медную пластину при импирически выбранных плотностях катодного тока, не вызвало сложностей. Данные таблицы 9 свидетельствуют о большей эффективности процесса осаждения никеля по сравнению с осаждением хрома. Это можно объяснить кинетической заторможенностью разряда хромосодержащих комплексных частиц у поверхности никелевого (никель уже к тому моменты был осажден на медную подложку) электрода (механизм процесса подробно описан в разделе 2.3 литобзора).</w:t>
      </w:r>
    </w:p>
    <w:p w14:paraId="1E08376A">
      <w:pPr>
        <w:rPr>
          <w:rStyle w:val="8"/>
          <w:b w:val="0"/>
          <w:bCs w:val="0"/>
        </w:rPr>
      </w:pPr>
    </w:p>
    <w:p w14:paraId="4F8C9D5C">
      <w:pPr>
        <w:rPr>
          <w:rStyle w:val="8"/>
          <w:b w:val="0"/>
          <w:bCs w:val="0"/>
        </w:rPr>
      </w:pPr>
    </w:p>
    <w:p w14:paraId="4DEDCB9C">
      <w:pPr>
        <w:spacing w:after="240" w:line="360" w:lineRule="auto"/>
        <w:rPr>
          <w:rStyle w:val="8"/>
          <w:b w:val="0"/>
          <w:bCs w:val="0"/>
          <w:sz w:val="28"/>
          <w:szCs w:val="28"/>
        </w:rPr>
      </w:pPr>
      <w:r>
        <w:rPr>
          <w:rStyle w:val="8"/>
          <w:b w:val="0"/>
          <w:bCs w:val="0"/>
          <w:sz w:val="28"/>
          <w:szCs w:val="28"/>
        </w:rPr>
        <w:t xml:space="preserve">4.1.4 Послойно осажденные </w:t>
      </w:r>
      <w:r>
        <w:rPr>
          <w:rStyle w:val="8"/>
          <w:b w:val="0"/>
          <w:bCs w:val="0"/>
          <w:i/>
          <w:sz w:val="28"/>
          <w:szCs w:val="28"/>
          <w:lang w:val="en-US"/>
        </w:rPr>
        <w:t>Ni</w:t>
      </w:r>
      <w:r>
        <w:rPr>
          <w:rStyle w:val="8"/>
          <w:b w:val="0"/>
          <w:bCs w:val="0"/>
          <w:i/>
          <w:sz w:val="28"/>
          <w:szCs w:val="28"/>
        </w:rPr>
        <w:t xml:space="preserve"> – </w:t>
      </w:r>
      <w:r>
        <w:rPr>
          <w:rStyle w:val="8"/>
          <w:b w:val="0"/>
          <w:bCs w:val="0"/>
          <w:i/>
          <w:sz w:val="28"/>
          <w:szCs w:val="28"/>
          <w:lang w:val="en-US"/>
        </w:rPr>
        <w:t>Cr</w:t>
      </w:r>
      <w:r>
        <w:rPr>
          <w:rStyle w:val="8"/>
          <w:b w:val="0"/>
          <w:bCs w:val="0"/>
          <w:sz w:val="28"/>
          <w:szCs w:val="28"/>
        </w:rPr>
        <w:t xml:space="preserve"> на образец сплава системы </w:t>
      </w:r>
      <w:r>
        <w:rPr>
          <w:rStyle w:val="8"/>
          <w:b w:val="0"/>
          <w:bCs w:val="0"/>
          <w:i/>
          <w:sz w:val="28"/>
          <w:szCs w:val="28"/>
          <w:lang w:val="en-US"/>
        </w:rPr>
        <w:t>Co</w:t>
      </w:r>
      <w:r>
        <w:rPr>
          <w:rStyle w:val="8"/>
          <w:b w:val="0"/>
          <w:bCs w:val="0"/>
          <w:i/>
          <w:sz w:val="28"/>
          <w:szCs w:val="28"/>
        </w:rPr>
        <w:t xml:space="preserve"> – </w:t>
      </w:r>
      <w:r>
        <w:rPr>
          <w:rStyle w:val="8"/>
          <w:b w:val="0"/>
          <w:bCs w:val="0"/>
          <w:i/>
          <w:sz w:val="28"/>
          <w:szCs w:val="28"/>
          <w:lang w:val="en-US"/>
        </w:rPr>
        <w:t>Nb</w:t>
      </w:r>
      <w:r>
        <w:rPr>
          <w:rStyle w:val="8"/>
          <w:b w:val="0"/>
          <w:bCs w:val="0"/>
          <w:i/>
          <w:sz w:val="28"/>
          <w:szCs w:val="28"/>
        </w:rPr>
        <w:t xml:space="preserve"> – </w:t>
      </w:r>
      <w:r>
        <w:rPr>
          <w:rStyle w:val="8"/>
          <w:b w:val="0"/>
          <w:bCs w:val="0"/>
          <w:i/>
          <w:sz w:val="28"/>
          <w:szCs w:val="28"/>
          <w:lang w:val="en-US"/>
        </w:rPr>
        <w:t>Re</w:t>
      </w:r>
    </w:p>
    <w:p w14:paraId="30A4164A">
      <w:pPr>
        <w:spacing w:before="240" w:line="360" w:lineRule="auto"/>
        <w:jc w:val="center"/>
        <w:rPr>
          <w:sz w:val="28"/>
          <w:szCs w:val="28"/>
        </w:rPr>
      </w:pPr>
      <w:r>
        <w:rPr>
          <w:i/>
          <w:color w:val="000000" w:themeColor="text1"/>
          <w:sz w:val="28"/>
          <w:szCs w:val="28"/>
          <w14:textFill>
            <w14:solidFill>
              <w14:schemeClr w14:val="tx1"/>
            </w14:solidFill>
          </w14:textFill>
        </w:rPr>
        <w:t>Таблица 10.</w:t>
      </w:r>
      <w:r>
        <w:rPr>
          <w:color w:val="000000" w:themeColor="text1"/>
          <w:sz w:val="28"/>
          <w:szCs w:val="28"/>
          <w14:textFill>
            <w14:solidFill>
              <w14:schemeClr w14:val="tx1"/>
            </w14:solidFill>
          </w14:textFill>
        </w:rPr>
        <w:t xml:space="preserve"> Элементный состав по данным ЛРСА послойного осаждения </w:t>
      </w:r>
      <w:r>
        <w:rPr>
          <w:color w:val="000000" w:themeColor="text1"/>
          <w:sz w:val="28"/>
          <w:szCs w:val="28"/>
          <w:lang w:val="en-US"/>
          <w14:textFill>
            <w14:solidFill>
              <w14:schemeClr w14:val="tx1"/>
            </w14:solidFill>
          </w14:textFill>
        </w:rPr>
        <w:t>Ni</w:t>
      </w:r>
      <w:r>
        <w:rPr>
          <w:color w:val="000000" w:themeColor="text1"/>
          <w:sz w:val="28"/>
          <w:szCs w:val="28"/>
          <w14:textFill>
            <w14:solidFill>
              <w14:schemeClr w14:val="tx1"/>
            </w14:solidFill>
          </w14:textFill>
        </w:rPr>
        <w:t xml:space="preserve"> (при плотности тока – 0.1 А/см</w:t>
      </w:r>
      <w:r>
        <w:rPr>
          <w:color w:val="000000" w:themeColor="text1"/>
          <w:sz w:val="28"/>
          <w:szCs w:val="28"/>
          <w:vertAlign w:val="superscript"/>
          <w14:textFill>
            <w14:solidFill>
              <w14:schemeClr w14:val="tx1"/>
            </w14:solidFill>
          </w14:textFill>
        </w:rPr>
        <w:t>2</w:t>
      </w:r>
      <w:r>
        <w:rPr>
          <w:color w:val="000000" w:themeColor="text1"/>
          <w:sz w:val="28"/>
          <w:szCs w:val="28"/>
          <w14:textFill>
            <w14:solidFill>
              <w14:schemeClr w14:val="tx1"/>
            </w14:solidFill>
          </w14:textFill>
        </w:rPr>
        <w:t xml:space="preserve">), затем </w:t>
      </w:r>
      <w:r>
        <w:rPr>
          <w:color w:val="000000" w:themeColor="text1"/>
          <w:sz w:val="28"/>
          <w:szCs w:val="28"/>
          <w:lang w:val="en-US"/>
          <w14:textFill>
            <w14:solidFill>
              <w14:schemeClr w14:val="tx1"/>
            </w14:solidFill>
          </w14:textFill>
        </w:rPr>
        <w:t>Cr</w:t>
      </w:r>
      <w:r>
        <w:rPr>
          <w:color w:val="000000" w:themeColor="text1"/>
          <w:sz w:val="28"/>
          <w:szCs w:val="28"/>
          <w14:textFill>
            <w14:solidFill>
              <w14:schemeClr w14:val="tx1"/>
            </w14:solidFill>
          </w14:textFill>
        </w:rPr>
        <w:t xml:space="preserve"> (при плотности тока – 0.3А/см</w:t>
      </w:r>
      <w:r>
        <w:rPr>
          <w:color w:val="000000" w:themeColor="text1"/>
          <w:sz w:val="28"/>
          <w:szCs w:val="28"/>
          <w:vertAlign w:val="superscript"/>
          <w14:textFill>
            <w14:solidFill>
              <w14:schemeClr w14:val="tx1"/>
            </w14:solidFill>
          </w14:textFill>
        </w:rPr>
        <w:t>2</w:t>
      </w:r>
      <w:r>
        <w:rPr>
          <w:color w:val="000000" w:themeColor="text1"/>
          <w:sz w:val="28"/>
          <w:szCs w:val="28"/>
          <w14:textFill>
            <w14:solidFill>
              <w14:schemeClr w14:val="tx1"/>
            </w14:solidFill>
          </w14:textFill>
        </w:rPr>
        <w:t xml:space="preserve">) на образец сплава системы </w:t>
      </w:r>
      <w:r>
        <w:rPr>
          <w:rStyle w:val="8"/>
          <w:b w:val="0"/>
          <w:bCs w:val="0"/>
          <w:i/>
          <w:sz w:val="28"/>
          <w:szCs w:val="28"/>
          <w:lang w:val="en-US"/>
        </w:rPr>
        <w:t>Co</w:t>
      </w:r>
      <w:r>
        <w:rPr>
          <w:rStyle w:val="8"/>
          <w:b w:val="0"/>
          <w:bCs w:val="0"/>
          <w:i/>
          <w:sz w:val="28"/>
          <w:szCs w:val="28"/>
        </w:rPr>
        <w:t xml:space="preserve"> – </w:t>
      </w:r>
      <w:r>
        <w:rPr>
          <w:rStyle w:val="8"/>
          <w:b w:val="0"/>
          <w:bCs w:val="0"/>
          <w:i/>
          <w:sz w:val="28"/>
          <w:szCs w:val="28"/>
          <w:lang w:val="en-US"/>
        </w:rPr>
        <w:t>Nb</w:t>
      </w:r>
      <w:r>
        <w:rPr>
          <w:rStyle w:val="8"/>
          <w:b w:val="0"/>
          <w:bCs w:val="0"/>
          <w:i/>
          <w:sz w:val="28"/>
          <w:szCs w:val="28"/>
        </w:rPr>
        <w:t xml:space="preserve"> – </w:t>
      </w:r>
      <w:r>
        <w:rPr>
          <w:rStyle w:val="8"/>
          <w:b w:val="0"/>
          <w:bCs w:val="0"/>
          <w:i/>
          <w:sz w:val="28"/>
          <w:szCs w:val="28"/>
          <w:lang w:val="en-US"/>
        </w:rPr>
        <w:t>Re</w:t>
      </w:r>
      <w:r>
        <w:rPr>
          <w:color w:val="000000" w:themeColor="text1"/>
          <w:sz w:val="28"/>
          <w:szCs w:val="28"/>
          <w14:textFill>
            <w14:solidFill>
              <w14:schemeClr w14:val="tx1"/>
            </w14:solidFill>
          </w14:textFill>
        </w:rPr>
        <w:t>.</w:t>
      </w:r>
    </w:p>
    <w:p w14:paraId="21AA667C">
      <w:pPr>
        <w:spacing w:line="360" w:lineRule="auto"/>
        <w:rPr>
          <w:rStyle w:val="8"/>
          <w:b w:val="0"/>
          <w:bCs w:val="0"/>
          <w:sz w:val="28"/>
          <w:szCs w:val="28"/>
        </w:rPr>
      </w:pPr>
    </w:p>
    <w:tbl>
      <w:tblPr>
        <w:tblStyle w:val="6"/>
        <w:tblW w:w="6108" w:type="dxa"/>
        <w:tblCellSpacing w:w="15" w:type="dxa"/>
        <w:tblInd w:w="1405"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1713"/>
        <w:gridCol w:w="992"/>
        <w:gridCol w:w="851"/>
        <w:gridCol w:w="850"/>
        <w:gridCol w:w="851"/>
        <w:gridCol w:w="851"/>
      </w:tblGrid>
      <w:tr w14:paraId="5BBC915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371" w:hRule="atLeast"/>
          <w:tblCellSpacing w:w="15" w:type="dxa"/>
        </w:trPr>
        <w:tc>
          <w:tcPr>
            <w:tcW w:w="0" w:type="auto"/>
            <w:tcBorders>
              <w:top w:val="outset" w:color="auto" w:sz="6" w:space="0"/>
              <w:left w:val="outset" w:color="auto" w:sz="6" w:space="0"/>
              <w:bottom w:val="outset" w:color="auto" w:sz="6" w:space="0"/>
              <w:right w:val="outset" w:color="auto" w:sz="6" w:space="0"/>
            </w:tcBorders>
            <w:vAlign w:val="center"/>
          </w:tcPr>
          <w:p w14:paraId="4C0E9059">
            <w:pPr>
              <w:rPr>
                <w:sz w:val="28"/>
                <w:szCs w:val="28"/>
              </w:rPr>
            </w:pPr>
            <w:r>
              <w:rPr>
                <w:sz w:val="28"/>
                <w:szCs w:val="28"/>
              </w:rPr>
              <w:t>Элемент</w:t>
            </w:r>
          </w:p>
        </w:tc>
        <w:tc>
          <w:tcPr>
            <w:tcW w:w="962" w:type="dxa"/>
            <w:tcBorders>
              <w:top w:val="outset" w:color="auto" w:sz="6" w:space="0"/>
              <w:left w:val="outset" w:color="auto" w:sz="6" w:space="0"/>
              <w:bottom w:val="outset" w:color="auto" w:sz="6" w:space="0"/>
              <w:right w:val="outset" w:color="auto" w:sz="6" w:space="0"/>
            </w:tcBorders>
            <w:vAlign w:val="center"/>
          </w:tcPr>
          <w:p w14:paraId="22F91963">
            <w:pPr>
              <w:rPr>
                <w:sz w:val="28"/>
                <w:szCs w:val="28"/>
              </w:rPr>
            </w:pPr>
            <w:r>
              <w:rPr>
                <w:sz w:val="28"/>
                <w:szCs w:val="28"/>
              </w:rPr>
              <w:t>Cr</w:t>
            </w:r>
          </w:p>
        </w:tc>
        <w:tc>
          <w:tcPr>
            <w:tcW w:w="821" w:type="dxa"/>
            <w:tcBorders>
              <w:top w:val="outset" w:color="auto" w:sz="6" w:space="0"/>
              <w:left w:val="outset" w:color="auto" w:sz="6" w:space="0"/>
              <w:bottom w:val="outset" w:color="auto" w:sz="6" w:space="0"/>
              <w:right w:val="outset" w:color="auto" w:sz="6" w:space="0"/>
            </w:tcBorders>
            <w:vAlign w:val="center"/>
          </w:tcPr>
          <w:p w14:paraId="6C74FA6F">
            <w:pPr>
              <w:rPr>
                <w:sz w:val="28"/>
                <w:szCs w:val="28"/>
              </w:rPr>
            </w:pPr>
            <w:r>
              <w:rPr>
                <w:sz w:val="28"/>
                <w:szCs w:val="28"/>
              </w:rPr>
              <w:t>Co</w:t>
            </w:r>
          </w:p>
        </w:tc>
        <w:tc>
          <w:tcPr>
            <w:tcW w:w="820" w:type="dxa"/>
            <w:tcBorders>
              <w:top w:val="outset" w:color="auto" w:sz="6" w:space="0"/>
              <w:left w:val="outset" w:color="auto" w:sz="6" w:space="0"/>
              <w:bottom w:val="outset" w:color="auto" w:sz="6" w:space="0"/>
              <w:right w:val="outset" w:color="auto" w:sz="6" w:space="0"/>
            </w:tcBorders>
            <w:vAlign w:val="center"/>
          </w:tcPr>
          <w:p w14:paraId="762899F3">
            <w:pPr>
              <w:rPr>
                <w:sz w:val="28"/>
                <w:szCs w:val="28"/>
              </w:rPr>
            </w:pPr>
            <w:r>
              <w:rPr>
                <w:sz w:val="28"/>
                <w:szCs w:val="28"/>
              </w:rPr>
              <w:t>Ni</w:t>
            </w:r>
          </w:p>
        </w:tc>
        <w:tc>
          <w:tcPr>
            <w:tcW w:w="821" w:type="dxa"/>
            <w:tcBorders>
              <w:top w:val="outset" w:color="auto" w:sz="6" w:space="0"/>
              <w:left w:val="outset" w:color="auto" w:sz="6" w:space="0"/>
              <w:bottom w:val="outset" w:color="auto" w:sz="6" w:space="0"/>
              <w:right w:val="outset" w:color="auto" w:sz="6" w:space="0"/>
            </w:tcBorders>
            <w:vAlign w:val="center"/>
          </w:tcPr>
          <w:p w14:paraId="5F99AA2B">
            <w:pPr>
              <w:rPr>
                <w:sz w:val="28"/>
                <w:szCs w:val="28"/>
                <w:lang w:val="en-US"/>
              </w:rPr>
            </w:pPr>
            <w:r>
              <w:rPr>
                <w:sz w:val="28"/>
                <w:szCs w:val="28"/>
                <w:lang w:val="en-US"/>
              </w:rPr>
              <w:t>Re</w:t>
            </w:r>
          </w:p>
        </w:tc>
        <w:tc>
          <w:tcPr>
            <w:tcW w:w="806" w:type="dxa"/>
            <w:tcBorders>
              <w:top w:val="outset" w:color="auto" w:sz="6" w:space="0"/>
              <w:left w:val="outset" w:color="auto" w:sz="6" w:space="0"/>
              <w:bottom w:val="outset" w:color="auto" w:sz="6" w:space="0"/>
              <w:right w:val="outset" w:color="auto" w:sz="6" w:space="0"/>
            </w:tcBorders>
          </w:tcPr>
          <w:p w14:paraId="503D930C">
            <w:pPr>
              <w:rPr>
                <w:sz w:val="28"/>
                <w:szCs w:val="28"/>
                <w:highlight w:val="darkGreen"/>
                <w:lang w:val="en-US"/>
              </w:rPr>
            </w:pPr>
            <w:r>
              <w:rPr>
                <w:sz w:val="28"/>
                <w:szCs w:val="28"/>
                <w:lang w:val="en-US"/>
              </w:rPr>
              <w:t>Nb</w:t>
            </w:r>
          </w:p>
        </w:tc>
      </w:tr>
      <w:tr w14:paraId="155DDB1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2" w:hRule="atLeast"/>
          <w:tblCellSpacing w:w="15" w:type="dxa"/>
        </w:trPr>
        <w:tc>
          <w:tcPr>
            <w:tcW w:w="0" w:type="auto"/>
            <w:tcBorders>
              <w:top w:val="outset" w:color="auto" w:sz="6" w:space="0"/>
              <w:left w:val="outset" w:color="auto" w:sz="6" w:space="0"/>
              <w:bottom w:val="outset" w:color="auto" w:sz="6" w:space="0"/>
              <w:right w:val="outset" w:color="auto" w:sz="6" w:space="0"/>
            </w:tcBorders>
            <w:vAlign w:val="center"/>
          </w:tcPr>
          <w:p w14:paraId="1AA42674">
            <w:pPr>
              <w:rPr>
                <w:sz w:val="28"/>
                <w:szCs w:val="28"/>
              </w:rPr>
            </w:pPr>
          </w:p>
        </w:tc>
        <w:tc>
          <w:tcPr>
            <w:tcW w:w="962" w:type="dxa"/>
            <w:vAlign w:val="center"/>
          </w:tcPr>
          <w:p w14:paraId="30669369">
            <w:pPr>
              <w:rPr>
                <w:sz w:val="28"/>
                <w:szCs w:val="28"/>
              </w:rPr>
            </w:pPr>
          </w:p>
        </w:tc>
        <w:tc>
          <w:tcPr>
            <w:tcW w:w="821" w:type="dxa"/>
            <w:vAlign w:val="center"/>
          </w:tcPr>
          <w:p w14:paraId="66064CC1">
            <w:pPr>
              <w:rPr>
                <w:sz w:val="28"/>
                <w:szCs w:val="28"/>
              </w:rPr>
            </w:pPr>
          </w:p>
        </w:tc>
        <w:tc>
          <w:tcPr>
            <w:tcW w:w="820" w:type="dxa"/>
            <w:vAlign w:val="center"/>
          </w:tcPr>
          <w:p w14:paraId="3BD9ED92">
            <w:pPr>
              <w:rPr>
                <w:sz w:val="28"/>
                <w:szCs w:val="28"/>
              </w:rPr>
            </w:pPr>
          </w:p>
        </w:tc>
        <w:tc>
          <w:tcPr>
            <w:tcW w:w="821" w:type="dxa"/>
            <w:vAlign w:val="center"/>
          </w:tcPr>
          <w:p w14:paraId="2CCEC8EA">
            <w:pPr>
              <w:rPr>
                <w:sz w:val="28"/>
                <w:szCs w:val="28"/>
              </w:rPr>
            </w:pPr>
          </w:p>
        </w:tc>
        <w:tc>
          <w:tcPr>
            <w:tcW w:w="806" w:type="dxa"/>
          </w:tcPr>
          <w:p w14:paraId="04EE8CC6">
            <w:pPr>
              <w:rPr>
                <w:sz w:val="28"/>
                <w:szCs w:val="28"/>
              </w:rPr>
            </w:pPr>
          </w:p>
        </w:tc>
      </w:tr>
      <w:tr w14:paraId="005F649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383" w:hRule="atLeast"/>
          <w:tblCellSpacing w:w="15" w:type="dxa"/>
        </w:trPr>
        <w:tc>
          <w:tcPr>
            <w:tcW w:w="0" w:type="auto"/>
            <w:tcBorders>
              <w:top w:val="outset" w:color="auto" w:sz="6" w:space="0"/>
              <w:left w:val="outset" w:color="auto" w:sz="6" w:space="0"/>
              <w:bottom w:val="outset" w:color="auto" w:sz="6" w:space="0"/>
              <w:right w:val="outset" w:color="auto" w:sz="6" w:space="0"/>
            </w:tcBorders>
            <w:vAlign w:val="center"/>
          </w:tcPr>
          <w:p w14:paraId="0439B257">
            <w:pPr>
              <w:rPr>
                <w:sz w:val="28"/>
                <w:szCs w:val="28"/>
              </w:rPr>
            </w:pPr>
            <w:r>
              <w:rPr>
                <w:sz w:val="28"/>
                <w:szCs w:val="28"/>
              </w:rPr>
              <w:t>Spectrum 1</w:t>
            </w:r>
          </w:p>
        </w:tc>
        <w:tc>
          <w:tcPr>
            <w:tcW w:w="962" w:type="dxa"/>
            <w:tcBorders>
              <w:top w:val="outset" w:color="auto" w:sz="6" w:space="0"/>
              <w:left w:val="outset" w:color="auto" w:sz="6" w:space="0"/>
              <w:bottom w:val="outset" w:color="auto" w:sz="6" w:space="0"/>
              <w:right w:val="outset" w:color="auto" w:sz="6" w:space="0"/>
            </w:tcBorders>
            <w:vAlign w:val="center"/>
          </w:tcPr>
          <w:p w14:paraId="324528B7">
            <w:pPr>
              <w:rPr>
                <w:sz w:val="28"/>
                <w:szCs w:val="28"/>
              </w:rPr>
            </w:pPr>
            <w:r>
              <w:rPr>
                <w:sz w:val="28"/>
                <w:szCs w:val="28"/>
              </w:rPr>
              <w:t>87.1</w:t>
            </w:r>
          </w:p>
        </w:tc>
        <w:tc>
          <w:tcPr>
            <w:tcW w:w="821" w:type="dxa"/>
            <w:tcBorders>
              <w:top w:val="outset" w:color="auto" w:sz="6" w:space="0"/>
              <w:left w:val="outset" w:color="auto" w:sz="6" w:space="0"/>
              <w:bottom w:val="outset" w:color="auto" w:sz="6" w:space="0"/>
              <w:right w:val="outset" w:color="auto" w:sz="6" w:space="0"/>
            </w:tcBorders>
            <w:vAlign w:val="center"/>
          </w:tcPr>
          <w:p w14:paraId="6038182D">
            <w:pPr>
              <w:rPr>
                <w:sz w:val="28"/>
                <w:szCs w:val="28"/>
              </w:rPr>
            </w:pPr>
            <w:r>
              <w:rPr>
                <w:sz w:val="28"/>
                <w:szCs w:val="28"/>
              </w:rPr>
              <w:t>1.4</w:t>
            </w:r>
          </w:p>
        </w:tc>
        <w:tc>
          <w:tcPr>
            <w:tcW w:w="820" w:type="dxa"/>
            <w:tcBorders>
              <w:top w:val="outset" w:color="auto" w:sz="6" w:space="0"/>
              <w:left w:val="outset" w:color="auto" w:sz="6" w:space="0"/>
              <w:bottom w:val="outset" w:color="auto" w:sz="6" w:space="0"/>
              <w:right w:val="outset" w:color="auto" w:sz="6" w:space="0"/>
            </w:tcBorders>
            <w:vAlign w:val="center"/>
          </w:tcPr>
          <w:p w14:paraId="4EC52BAC">
            <w:pPr>
              <w:rPr>
                <w:sz w:val="28"/>
                <w:szCs w:val="28"/>
              </w:rPr>
            </w:pPr>
            <w:r>
              <w:rPr>
                <w:sz w:val="28"/>
                <w:szCs w:val="28"/>
              </w:rPr>
              <w:t>11.6</w:t>
            </w:r>
          </w:p>
        </w:tc>
        <w:tc>
          <w:tcPr>
            <w:tcW w:w="821" w:type="dxa"/>
            <w:tcBorders>
              <w:top w:val="outset" w:color="auto" w:sz="6" w:space="0"/>
              <w:left w:val="outset" w:color="auto" w:sz="6" w:space="0"/>
              <w:bottom w:val="outset" w:color="auto" w:sz="6" w:space="0"/>
              <w:right w:val="outset" w:color="auto" w:sz="6" w:space="0"/>
            </w:tcBorders>
            <w:vAlign w:val="center"/>
          </w:tcPr>
          <w:p w14:paraId="03586E7B">
            <w:pPr>
              <w:rPr>
                <w:sz w:val="28"/>
                <w:szCs w:val="28"/>
                <w:lang w:val="en-US"/>
              </w:rPr>
            </w:pPr>
            <w:r>
              <w:rPr>
                <w:sz w:val="28"/>
                <w:szCs w:val="28"/>
                <w:lang w:val="en-US"/>
              </w:rPr>
              <w:t>-</w:t>
            </w:r>
          </w:p>
        </w:tc>
        <w:tc>
          <w:tcPr>
            <w:tcW w:w="806" w:type="dxa"/>
            <w:tcBorders>
              <w:top w:val="outset" w:color="auto" w:sz="6" w:space="0"/>
              <w:left w:val="outset" w:color="auto" w:sz="6" w:space="0"/>
              <w:bottom w:val="outset" w:color="auto" w:sz="6" w:space="0"/>
              <w:right w:val="outset" w:color="auto" w:sz="6" w:space="0"/>
            </w:tcBorders>
          </w:tcPr>
          <w:p w14:paraId="78DA7DB6">
            <w:pPr>
              <w:rPr>
                <w:sz w:val="28"/>
                <w:szCs w:val="28"/>
                <w:lang w:val="en-US"/>
              </w:rPr>
            </w:pPr>
            <w:r>
              <w:rPr>
                <w:sz w:val="28"/>
                <w:szCs w:val="28"/>
                <w:lang w:val="en-US"/>
              </w:rPr>
              <w:t>-</w:t>
            </w:r>
          </w:p>
        </w:tc>
      </w:tr>
    </w:tbl>
    <w:p w14:paraId="3E269311">
      <w:pPr>
        <w:rPr>
          <w:rStyle w:val="8"/>
          <w:b w:val="0"/>
          <w:bCs w:val="0"/>
        </w:rPr>
      </w:pPr>
    </w:p>
    <w:p w14:paraId="1872ACD7">
      <w:pPr>
        <w:rPr>
          <w:rStyle w:val="8"/>
          <w:b w:val="0"/>
          <w:bCs w:val="0"/>
        </w:rPr>
      </w:pPr>
    </w:p>
    <w:p w14:paraId="5C621D33">
      <w:pPr>
        <w:jc w:val="center"/>
        <w:rPr>
          <w:rStyle w:val="8"/>
          <w:b w:val="0"/>
          <w:bCs w:val="0"/>
        </w:rPr>
      </w:pPr>
      <w:r>
        <w:drawing>
          <wp:inline distT="0" distB="0" distL="0" distR="0">
            <wp:extent cx="1245870" cy="190627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247579" cy="1908062"/>
                    </a:xfrm>
                    <a:prstGeom prst="rect">
                      <a:avLst/>
                    </a:prstGeom>
                  </pic:spPr>
                </pic:pic>
              </a:graphicData>
            </a:graphic>
          </wp:inline>
        </w:drawing>
      </w:r>
      <w:r>
        <w:drawing>
          <wp:inline distT="0" distB="0" distL="0" distR="0">
            <wp:extent cx="3810000" cy="1905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810000" cy="1905000"/>
                    </a:xfrm>
                    <a:prstGeom prst="rect">
                      <a:avLst/>
                    </a:prstGeom>
                  </pic:spPr>
                </pic:pic>
              </a:graphicData>
            </a:graphic>
          </wp:inline>
        </w:drawing>
      </w:r>
    </w:p>
    <w:p w14:paraId="1E6F0C8D">
      <w:pPr>
        <w:rPr>
          <w:rStyle w:val="8"/>
          <w:b w:val="0"/>
          <w:bCs w:val="0"/>
          <w:i/>
        </w:rPr>
      </w:pPr>
      <w:r>
        <w:rPr>
          <w:rStyle w:val="8"/>
          <w:b w:val="0"/>
          <w:bCs w:val="0"/>
        </w:rPr>
        <w:tab/>
      </w:r>
      <w:r>
        <w:rPr>
          <w:rStyle w:val="8"/>
          <w:b w:val="0"/>
          <w:bCs w:val="0"/>
        </w:rPr>
        <w:tab/>
      </w:r>
      <w:r>
        <w:rPr>
          <w:rStyle w:val="8"/>
          <w:b w:val="0"/>
          <w:bCs w:val="0"/>
        </w:rPr>
        <w:tab/>
      </w:r>
      <w:r>
        <w:rPr>
          <w:rStyle w:val="8"/>
          <w:b w:val="0"/>
          <w:bCs w:val="0"/>
          <w:i/>
        </w:rPr>
        <w:t>(а)</w:t>
      </w:r>
      <w:r>
        <w:rPr>
          <w:rStyle w:val="8"/>
          <w:b w:val="0"/>
          <w:bCs w:val="0"/>
          <w:i/>
        </w:rPr>
        <w:tab/>
      </w:r>
      <w:r>
        <w:rPr>
          <w:rStyle w:val="8"/>
          <w:b w:val="0"/>
          <w:bCs w:val="0"/>
          <w:i/>
        </w:rPr>
        <w:tab/>
      </w:r>
      <w:r>
        <w:rPr>
          <w:rStyle w:val="8"/>
          <w:b w:val="0"/>
          <w:bCs w:val="0"/>
          <w:i/>
        </w:rPr>
        <w:tab/>
      </w:r>
      <w:r>
        <w:rPr>
          <w:rStyle w:val="8"/>
          <w:b w:val="0"/>
          <w:bCs w:val="0"/>
          <w:i/>
        </w:rPr>
        <w:tab/>
      </w:r>
      <w:r>
        <w:rPr>
          <w:rStyle w:val="8"/>
          <w:b w:val="0"/>
          <w:bCs w:val="0"/>
          <w:i/>
        </w:rPr>
        <w:tab/>
      </w:r>
      <w:r>
        <w:rPr>
          <w:rStyle w:val="8"/>
          <w:b w:val="0"/>
          <w:bCs w:val="0"/>
          <w:i/>
        </w:rPr>
        <w:tab/>
      </w:r>
      <w:r>
        <w:rPr>
          <w:rStyle w:val="8"/>
          <w:b w:val="0"/>
          <w:bCs w:val="0"/>
          <w:i/>
        </w:rPr>
        <w:t>(б)</w:t>
      </w:r>
    </w:p>
    <w:p w14:paraId="03D402AC">
      <w:pPr>
        <w:pStyle w:val="10"/>
        <w:spacing w:after="360"/>
        <w:jc w:val="center"/>
        <w:rPr>
          <w:rFonts w:ascii="Times New Roman" w:hAnsi="Times New Roman" w:cs="Times New Roman"/>
          <w:i w:val="0"/>
          <w:sz w:val="28"/>
          <w:szCs w:val="28"/>
        </w:rPr>
      </w:pPr>
      <w:r>
        <w:rPr>
          <w:rFonts w:ascii="Times New Roman" w:hAnsi="Times New Roman" w:cs="Times New Roman"/>
          <w:sz w:val="28"/>
          <w:szCs w:val="28"/>
        </w:rPr>
        <w:t xml:space="preserve">Рисунок 12. </w:t>
      </w:r>
      <w:r>
        <w:rPr>
          <w:rFonts w:ascii="Times New Roman" w:hAnsi="Times New Roman" w:cs="Times New Roman"/>
          <w:i w:val="0"/>
          <w:sz w:val="28"/>
          <w:szCs w:val="28"/>
        </w:rPr>
        <w:t xml:space="preserve">ЛРСА, микроструктура образца послойно осажденных </w:t>
      </w:r>
      <w:r>
        <w:rPr>
          <w:rFonts w:ascii="Times New Roman" w:hAnsi="Times New Roman" w:cs="Times New Roman"/>
          <w:i w:val="0"/>
          <w:sz w:val="28"/>
          <w:szCs w:val="28"/>
          <w:lang w:val="en-US"/>
        </w:rPr>
        <w:t>Ni</w:t>
      </w:r>
      <w:r>
        <w:rPr>
          <w:rFonts w:ascii="Times New Roman" w:hAnsi="Times New Roman" w:cs="Times New Roman"/>
          <w:i w:val="0"/>
          <w:sz w:val="28"/>
          <w:szCs w:val="28"/>
        </w:rPr>
        <w:t xml:space="preserve">, </w:t>
      </w:r>
      <w:r>
        <w:rPr>
          <w:rFonts w:ascii="Times New Roman" w:hAnsi="Times New Roman" w:cs="Times New Roman"/>
          <w:i w:val="0"/>
          <w:sz w:val="28"/>
          <w:szCs w:val="28"/>
          <w:lang w:val="en-US"/>
        </w:rPr>
        <w:t>Cr</w:t>
      </w:r>
      <w:r>
        <w:rPr>
          <w:rFonts w:ascii="Times New Roman" w:hAnsi="Times New Roman" w:cs="Times New Roman"/>
          <w:i w:val="0"/>
          <w:sz w:val="28"/>
          <w:szCs w:val="28"/>
        </w:rPr>
        <w:t xml:space="preserve"> на образец сплава системы: </w:t>
      </w:r>
      <w:r>
        <w:rPr>
          <w:rStyle w:val="8"/>
          <w:rFonts w:ascii="Times New Roman" w:hAnsi="Times New Roman" w:cs="Times New Roman"/>
          <w:b w:val="0"/>
          <w:bCs w:val="0"/>
          <w:sz w:val="28"/>
          <w:szCs w:val="28"/>
          <w:lang w:val="en-US"/>
        </w:rPr>
        <w:t>Co</w:t>
      </w:r>
      <w:r>
        <w:rPr>
          <w:rStyle w:val="8"/>
          <w:rFonts w:ascii="Times New Roman" w:hAnsi="Times New Roman" w:cs="Times New Roman"/>
          <w:b w:val="0"/>
          <w:bCs w:val="0"/>
          <w:sz w:val="28"/>
          <w:szCs w:val="28"/>
        </w:rPr>
        <w:t xml:space="preserve"> – </w:t>
      </w:r>
      <w:r>
        <w:rPr>
          <w:rStyle w:val="8"/>
          <w:rFonts w:ascii="Times New Roman" w:hAnsi="Times New Roman" w:cs="Times New Roman"/>
          <w:b w:val="0"/>
          <w:bCs w:val="0"/>
          <w:sz w:val="28"/>
          <w:szCs w:val="28"/>
          <w:lang w:val="en-US"/>
        </w:rPr>
        <w:t>Nb</w:t>
      </w:r>
      <w:r>
        <w:rPr>
          <w:rStyle w:val="8"/>
          <w:rFonts w:ascii="Times New Roman" w:hAnsi="Times New Roman" w:cs="Times New Roman"/>
          <w:b w:val="0"/>
          <w:bCs w:val="0"/>
          <w:sz w:val="28"/>
          <w:szCs w:val="28"/>
        </w:rPr>
        <w:t xml:space="preserve"> – </w:t>
      </w:r>
      <w:r>
        <w:rPr>
          <w:rStyle w:val="8"/>
          <w:rFonts w:ascii="Times New Roman" w:hAnsi="Times New Roman" w:cs="Times New Roman"/>
          <w:b w:val="0"/>
          <w:bCs w:val="0"/>
          <w:sz w:val="28"/>
          <w:szCs w:val="28"/>
          <w:lang w:val="en-US"/>
        </w:rPr>
        <w:t>Re</w:t>
      </w:r>
      <w:r>
        <w:rPr>
          <w:rFonts w:ascii="Times New Roman" w:hAnsi="Times New Roman" w:cs="Times New Roman"/>
          <w:i w:val="0"/>
          <w:sz w:val="28"/>
          <w:szCs w:val="28"/>
        </w:rPr>
        <w:t xml:space="preserve"> (а), </w:t>
      </w:r>
      <w:r>
        <w:rPr>
          <w:rFonts w:ascii="Times New Roman" w:hAnsi="Times New Roman" w:cs="Times New Roman"/>
          <w:sz w:val="28"/>
          <w:szCs w:val="28"/>
        </w:rPr>
        <w:t>спектр 1</w:t>
      </w:r>
      <w:r>
        <w:rPr>
          <w:rFonts w:ascii="Times New Roman" w:hAnsi="Times New Roman" w:cs="Times New Roman"/>
          <w:i w:val="0"/>
          <w:sz w:val="28"/>
          <w:szCs w:val="28"/>
        </w:rPr>
        <w:t xml:space="preserve"> послойно осажденных никеля, затем хрома на образец сплава системы: </w:t>
      </w:r>
      <w:r>
        <w:rPr>
          <w:rStyle w:val="8"/>
          <w:rFonts w:ascii="Times New Roman" w:hAnsi="Times New Roman" w:cs="Times New Roman"/>
          <w:b w:val="0"/>
          <w:bCs w:val="0"/>
          <w:sz w:val="28"/>
          <w:szCs w:val="28"/>
          <w:lang w:val="en-US"/>
        </w:rPr>
        <w:t>Co</w:t>
      </w:r>
      <w:r>
        <w:rPr>
          <w:rStyle w:val="8"/>
          <w:rFonts w:ascii="Times New Roman" w:hAnsi="Times New Roman" w:cs="Times New Roman"/>
          <w:b w:val="0"/>
          <w:bCs w:val="0"/>
          <w:sz w:val="28"/>
          <w:szCs w:val="28"/>
        </w:rPr>
        <w:t xml:space="preserve"> – </w:t>
      </w:r>
      <w:r>
        <w:rPr>
          <w:rStyle w:val="8"/>
          <w:rFonts w:ascii="Times New Roman" w:hAnsi="Times New Roman" w:cs="Times New Roman"/>
          <w:b w:val="0"/>
          <w:bCs w:val="0"/>
          <w:sz w:val="28"/>
          <w:szCs w:val="28"/>
          <w:lang w:val="en-US"/>
        </w:rPr>
        <w:t>Nb</w:t>
      </w:r>
      <w:r>
        <w:rPr>
          <w:rStyle w:val="8"/>
          <w:rFonts w:ascii="Times New Roman" w:hAnsi="Times New Roman" w:cs="Times New Roman"/>
          <w:b w:val="0"/>
          <w:bCs w:val="0"/>
          <w:sz w:val="28"/>
          <w:szCs w:val="28"/>
        </w:rPr>
        <w:t xml:space="preserve"> – </w:t>
      </w:r>
      <w:r>
        <w:rPr>
          <w:rStyle w:val="8"/>
          <w:rFonts w:ascii="Times New Roman" w:hAnsi="Times New Roman" w:cs="Times New Roman"/>
          <w:b w:val="0"/>
          <w:bCs w:val="0"/>
          <w:sz w:val="28"/>
          <w:szCs w:val="28"/>
          <w:lang w:val="en-US"/>
        </w:rPr>
        <w:t>Re</w:t>
      </w:r>
      <w:r>
        <w:rPr>
          <w:rFonts w:ascii="Times New Roman" w:hAnsi="Times New Roman" w:cs="Times New Roman"/>
          <w:i w:val="0"/>
          <w:sz w:val="28"/>
          <w:szCs w:val="28"/>
        </w:rPr>
        <w:t xml:space="preserve"> (б).</w:t>
      </w:r>
    </w:p>
    <w:p w14:paraId="74A83B35">
      <w:pPr>
        <w:pStyle w:val="10"/>
        <w:spacing w:after="360" w:line="360" w:lineRule="auto"/>
        <w:ind w:firstLine="709"/>
        <w:jc w:val="both"/>
        <w:rPr>
          <w:rFonts w:ascii="Times New Roman" w:hAnsi="Times New Roman" w:cs="Times New Roman"/>
          <w:i w:val="0"/>
          <w:sz w:val="28"/>
          <w:szCs w:val="28"/>
        </w:rPr>
      </w:pPr>
      <w:r>
        <w:rPr>
          <w:rFonts w:ascii="Times New Roman" w:hAnsi="Times New Roman" w:cs="Times New Roman"/>
          <w:i w:val="0"/>
          <w:sz w:val="28"/>
          <w:szCs w:val="28"/>
        </w:rPr>
        <w:t xml:space="preserve">Данные таблицы 10 показывают увеличение эффективности разряда хрома по сравнению с никелем, однако это не так, поскольку анализ проводили с поверхности, внешним слоем на которой был хром, затем никель, а затем подложка из сплава системы </w:t>
      </w:r>
      <w:r>
        <w:rPr>
          <w:rStyle w:val="8"/>
          <w:rFonts w:ascii="Times New Roman" w:hAnsi="Times New Roman" w:cs="Times New Roman"/>
          <w:b w:val="0"/>
          <w:bCs w:val="0"/>
          <w:sz w:val="28"/>
          <w:szCs w:val="28"/>
          <w:lang w:val="en-US"/>
        </w:rPr>
        <w:t>Co</w:t>
      </w:r>
      <w:r>
        <w:rPr>
          <w:rStyle w:val="8"/>
          <w:rFonts w:ascii="Times New Roman" w:hAnsi="Times New Roman" w:cs="Times New Roman"/>
          <w:b w:val="0"/>
          <w:bCs w:val="0"/>
          <w:sz w:val="28"/>
          <w:szCs w:val="28"/>
        </w:rPr>
        <w:t xml:space="preserve"> – </w:t>
      </w:r>
      <w:r>
        <w:rPr>
          <w:rStyle w:val="8"/>
          <w:rFonts w:ascii="Times New Roman" w:hAnsi="Times New Roman" w:cs="Times New Roman"/>
          <w:b w:val="0"/>
          <w:bCs w:val="0"/>
          <w:sz w:val="28"/>
          <w:szCs w:val="28"/>
          <w:lang w:val="en-US"/>
        </w:rPr>
        <w:t>Nb</w:t>
      </w:r>
      <w:r>
        <w:rPr>
          <w:rStyle w:val="8"/>
          <w:rFonts w:ascii="Times New Roman" w:hAnsi="Times New Roman" w:cs="Times New Roman"/>
          <w:b w:val="0"/>
          <w:bCs w:val="0"/>
          <w:sz w:val="28"/>
          <w:szCs w:val="28"/>
        </w:rPr>
        <w:t xml:space="preserve"> – </w:t>
      </w:r>
      <w:r>
        <w:rPr>
          <w:rStyle w:val="8"/>
          <w:rFonts w:ascii="Times New Roman" w:hAnsi="Times New Roman" w:cs="Times New Roman"/>
          <w:b w:val="0"/>
          <w:bCs w:val="0"/>
          <w:sz w:val="28"/>
          <w:szCs w:val="28"/>
          <w:lang w:val="en-US"/>
        </w:rPr>
        <w:t>Re</w:t>
      </w:r>
      <w:r>
        <w:rPr>
          <w:rStyle w:val="8"/>
          <w:rFonts w:ascii="Times New Roman" w:hAnsi="Times New Roman" w:cs="Times New Roman"/>
          <w:b w:val="0"/>
          <w:bCs w:val="0"/>
          <w:sz w:val="28"/>
          <w:szCs w:val="28"/>
        </w:rPr>
        <w:t xml:space="preserve">. </w:t>
      </w:r>
      <w:r>
        <w:rPr>
          <w:rStyle w:val="8"/>
          <w:rFonts w:ascii="Times New Roman" w:hAnsi="Times New Roman" w:cs="Times New Roman"/>
          <w:b w:val="0"/>
          <w:bCs w:val="0"/>
          <w:i w:val="0"/>
          <w:sz w:val="28"/>
          <w:szCs w:val="28"/>
        </w:rPr>
        <w:t xml:space="preserve">Поэтому, чтобы оценить эффективность процесса электросинтеза никеля на подложку из сплава, нужно делать элементный анализ среза. Однако мы можем с уверенностью сказать, что электроосаждение хрома в системе </w:t>
      </w:r>
      <w:r>
        <w:rPr>
          <w:rStyle w:val="8"/>
          <w:rFonts w:ascii="Times New Roman" w:hAnsi="Times New Roman" w:cs="Times New Roman"/>
          <w:bCs w:val="0"/>
          <w:sz w:val="28"/>
          <w:szCs w:val="28"/>
          <w:lang w:val="en-US"/>
        </w:rPr>
        <w:t>Cr</w:t>
      </w:r>
      <w:r>
        <w:rPr>
          <w:rStyle w:val="8"/>
          <w:rFonts w:ascii="Times New Roman" w:hAnsi="Times New Roman" w:cs="Times New Roman"/>
          <w:bCs w:val="0"/>
          <w:sz w:val="28"/>
          <w:szCs w:val="28"/>
        </w:rPr>
        <w:t>/</w:t>
      </w:r>
      <w:r>
        <w:rPr>
          <w:rStyle w:val="8"/>
          <w:rFonts w:ascii="Times New Roman" w:hAnsi="Times New Roman" w:cs="Times New Roman"/>
          <w:bCs w:val="0"/>
          <w:sz w:val="28"/>
          <w:szCs w:val="28"/>
          <w:lang w:val="en-US"/>
        </w:rPr>
        <w:t>Ni</w:t>
      </w:r>
      <w:r>
        <w:rPr>
          <w:rStyle w:val="8"/>
          <w:rFonts w:ascii="Times New Roman" w:hAnsi="Times New Roman" w:cs="Times New Roman"/>
          <w:bCs w:val="0"/>
          <w:sz w:val="28"/>
          <w:szCs w:val="28"/>
        </w:rPr>
        <w:t>/сплав</w:t>
      </w:r>
      <w:r>
        <w:rPr>
          <w:rStyle w:val="8"/>
          <w:rFonts w:ascii="Times New Roman" w:hAnsi="Times New Roman" w:cs="Times New Roman"/>
          <w:b w:val="0"/>
          <w:bCs w:val="0"/>
          <w:sz w:val="28"/>
          <w:szCs w:val="28"/>
        </w:rPr>
        <w:t xml:space="preserve"> </w:t>
      </w:r>
      <w:r>
        <w:rPr>
          <w:rStyle w:val="8"/>
          <w:rFonts w:ascii="Times New Roman" w:hAnsi="Times New Roman" w:cs="Times New Roman"/>
          <w:b w:val="0"/>
          <w:bCs w:val="0"/>
          <w:i w:val="0"/>
          <w:sz w:val="28"/>
          <w:szCs w:val="28"/>
        </w:rPr>
        <w:t>протекает с большим выходом по току, нежели в системе</w:t>
      </w:r>
      <w:r>
        <w:rPr>
          <w:rStyle w:val="8"/>
          <w:rFonts w:ascii="Times New Roman" w:hAnsi="Times New Roman" w:cs="Times New Roman"/>
          <w:b w:val="0"/>
          <w:bCs w:val="0"/>
          <w:sz w:val="28"/>
          <w:szCs w:val="28"/>
        </w:rPr>
        <w:t xml:space="preserve"> </w:t>
      </w:r>
      <w:r>
        <w:rPr>
          <w:rStyle w:val="8"/>
          <w:rFonts w:ascii="Times New Roman" w:hAnsi="Times New Roman" w:cs="Times New Roman"/>
          <w:bCs w:val="0"/>
          <w:sz w:val="28"/>
          <w:szCs w:val="28"/>
          <w:lang w:val="en-US"/>
        </w:rPr>
        <w:t>Cr</w:t>
      </w:r>
      <w:r>
        <w:rPr>
          <w:rStyle w:val="8"/>
          <w:rFonts w:ascii="Times New Roman" w:hAnsi="Times New Roman" w:cs="Times New Roman"/>
          <w:bCs w:val="0"/>
          <w:sz w:val="28"/>
          <w:szCs w:val="28"/>
        </w:rPr>
        <w:t>/</w:t>
      </w:r>
      <w:r>
        <w:rPr>
          <w:rStyle w:val="8"/>
          <w:rFonts w:ascii="Times New Roman" w:hAnsi="Times New Roman" w:cs="Times New Roman"/>
          <w:bCs w:val="0"/>
          <w:sz w:val="28"/>
          <w:szCs w:val="28"/>
          <w:lang w:val="en-US"/>
        </w:rPr>
        <w:t>Ni</w:t>
      </w:r>
      <w:r>
        <w:rPr>
          <w:rStyle w:val="8"/>
          <w:rFonts w:ascii="Times New Roman" w:hAnsi="Times New Roman" w:cs="Times New Roman"/>
          <w:bCs w:val="0"/>
          <w:sz w:val="28"/>
          <w:szCs w:val="28"/>
        </w:rPr>
        <w:t>/</w:t>
      </w:r>
      <w:r>
        <w:rPr>
          <w:rStyle w:val="8"/>
          <w:rFonts w:ascii="Times New Roman" w:hAnsi="Times New Roman" w:cs="Times New Roman"/>
          <w:bCs w:val="0"/>
          <w:sz w:val="28"/>
          <w:szCs w:val="28"/>
          <w:lang w:val="en-US"/>
        </w:rPr>
        <w:t>Cu</w:t>
      </w:r>
      <w:r>
        <w:rPr>
          <w:rStyle w:val="8"/>
          <w:rFonts w:ascii="Times New Roman" w:hAnsi="Times New Roman" w:cs="Times New Roman"/>
          <w:bCs w:val="0"/>
          <w:sz w:val="28"/>
          <w:szCs w:val="28"/>
        </w:rPr>
        <w:t xml:space="preserve">. </w:t>
      </w:r>
      <w:r>
        <w:rPr>
          <w:rStyle w:val="8"/>
          <w:rFonts w:ascii="Times New Roman" w:hAnsi="Times New Roman" w:cs="Times New Roman"/>
          <w:b w:val="0"/>
          <w:bCs w:val="0"/>
          <w:i w:val="0"/>
          <w:sz w:val="28"/>
          <w:szCs w:val="28"/>
        </w:rPr>
        <w:t>По нашему мнению, это связано с фактором шероховатости поверхности. Перед процессом электросинтеза медная подложка, как уже было написано в методике эксперимента, полировалась в смеси кислот, а подложка из сплава полировалась механически. Очевидно, что фактор шероховатости у механически полированного образца выше чем у химически полированного. По–видимому, поверхностные механические дефекты сплава, профиль которых повторило никелевое покрытие, сыграли роль активных центров при электроосаждении хрома, вследствие чего процентное содержание хрома на подложке сплава выросло по сравнению с медной подложкой.</w:t>
      </w:r>
      <w:r>
        <w:rPr>
          <w:rStyle w:val="8"/>
          <w:rFonts w:ascii="Times New Roman" w:hAnsi="Times New Roman" w:cs="Times New Roman"/>
          <w:bCs w:val="0"/>
          <w:sz w:val="28"/>
          <w:szCs w:val="28"/>
        </w:rPr>
        <w:t xml:space="preserve"> </w:t>
      </w:r>
    </w:p>
    <w:p w14:paraId="2CDB9F10">
      <w:pPr>
        <w:rPr>
          <w:rStyle w:val="8"/>
          <w:b w:val="0"/>
          <w:bCs w:val="0"/>
        </w:rPr>
      </w:pPr>
    </w:p>
    <w:p w14:paraId="5937ED5D">
      <w:pPr>
        <w:jc w:val="both"/>
        <w:rPr>
          <w:rStyle w:val="8"/>
          <w:b w:val="0"/>
          <w:bCs w:val="0"/>
          <w:i/>
          <w:sz w:val="28"/>
          <w:szCs w:val="28"/>
        </w:rPr>
      </w:pPr>
    </w:p>
    <w:p w14:paraId="073299BF">
      <w:pPr>
        <w:jc w:val="both"/>
        <w:rPr>
          <w:rStyle w:val="8"/>
          <w:b w:val="0"/>
          <w:bCs w:val="0"/>
          <w:i/>
          <w:sz w:val="28"/>
          <w:szCs w:val="28"/>
        </w:rPr>
      </w:pPr>
    </w:p>
    <w:p w14:paraId="2F2A89DF">
      <w:pPr>
        <w:jc w:val="both"/>
        <w:rPr>
          <w:rStyle w:val="8"/>
          <w:b w:val="0"/>
          <w:bCs w:val="0"/>
          <w:i/>
          <w:sz w:val="28"/>
          <w:szCs w:val="28"/>
        </w:rPr>
      </w:pPr>
    </w:p>
    <w:p w14:paraId="1A45A1F7">
      <w:pPr>
        <w:rPr>
          <w:rStyle w:val="8"/>
          <w:b w:val="0"/>
          <w:bCs w:val="0"/>
        </w:rPr>
      </w:pPr>
    </w:p>
    <w:p w14:paraId="38033EF1">
      <w:pPr>
        <w:rPr>
          <w:rStyle w:val="8"/>
          <w:b w:val="0"/>
          <w:bCs w:val="0"/>
        </w:rPr>
      </w:pPr>
    </w:p>
    <w:p w14:paraId="1A148CEE">
      <w:pPr>
        <w:pStyle w:val="2"/>
        <w:numPr>
          <w:ilvl w:val="0"/>
          <w:numId w:val="2"/>
        </w:numPr>
        <w:tabs>
          <w:tab w:val="left" w:pos="-4416"/>
          <w:tab w:val="clear" w:pos="0"/>
        </w:tabs>
        <w:ind w:left="324"/>
        <w:rPr>
          <w:rStyle w:val="8"/>
          <w:rFonts w:cs="Times New Roman"/>
          <w:b/>
          <w:bCs/>
        </w:rPr>
      </w:pPr>
      <w:bookmarkStart w:id="25" w:name="_Toc167999812"/>
      <w:r>
        <w:rPr>
          <w:rStyle w:val="8"/>
          <w:rFonts w:cs="Times New Roman"/>
          <w:b/>
          <w:bCs/>
        </w:rPr>
        <w:t>Выводы</w:t>
      </w:r>
      <w:bookmarkEnd w:id="25"/>
    </w:p>
    <w:p w14:paraId="148E57B3">
      <w:pPr>
        <w:pStyle w:val="38"/>
        <w:numPr>
          <w:ilvl w:val="3"/>
          <w:numId w:val="2"/>
        </w:numPr>
        <w:tabs>
          <w:tab w:val="left" w:pos="-6228"/>
          <w:tab w:val="clear" w:pos="0"/>
        </w:tabs>
        <w:spacing w:line="360" w:lineRule="auto"/>
        <w:ind w:left="1066" w:firstLine="709"/>
        <w:rPr>
          <w:rStyle w:val="8"/>
          <w:rFonts w:ascii="Times New Roman" w:hAnsi="Times New Roman" w:cs="Times New Roman"/>
          <w:b w:val="0"/>
          <w:bCs w:val="0"/>
          <w:sz w:val="28"/>
          <w:szCs w:val="28"/>
        </w:rPr>
      </w:pPr>
      <w:r>
        <w:rPr>
          <w:rFonts w:ascii="Times New Roman" w:hAnsi="Times New Roman" w:cs="Times New Roman"/>
          <w:sz w:val="28"/>
          <w:szCs w:val="28"/>
        </w:rPr>
        <w:t xml:space="preserve">Проведены синтезы послойных никель – хромовых покрытий методом электрохимического осаждения из растворов, содержащих одноименные ионы металлов. Послойные покрытия были осаждены на медную подложку и подложку из конструкционного сплава системы </w:t>
      </w:r>
      <w:r>
        <w:rPr>
          <w:rStyle w:val="8"/>
          <w:rFonts w:ascii="Times New Roman" w:hAnsi="Times New Roman" w:cs="Times New Roman"/>
          <w:b w:val="0"/>
          <w:bCs w:val="0"/>
          <w:sz w:val="28"/>
          <w:szCs w:val="28"/>
          <w:lang w:val="en-US"/>
        </w:rPr>
        <w:t>Co</w:t>
      </w:r>
      <w:r>
        <w:rPr>
          <w:rStyle w:val="8"/>
          <w:rFonts w:ascii="Times New Roman" w:hAnsi="Times New Roman" w:cs="Times New Roman"/>
          <w:b w:val="0"/>
          <w:bCs w:val="0"/>
          <w:sz w:val="28"/>
          <w:szCs w:val="28"/>
        </w:rPr>
        <w:t xml:space="preserve"> – </w:t>
      </w:r>
      <w:r>
        <w:rPr>
          <w:rStyle w:val="8"/>
          <w:rFonts w:ascii="Times New Roman" w:hAnsi="Times New Roman" w:cs="Times New Roman"/>
          <w:b w:val="0"/>
          <w:bCs w:val="0"/>
          <w:sz w:val="28"/>
          <w:szCs w:val="28"/>
          <w:lang w:val="en-US"/>
        </w:rPr>
        <w:t>Nb</w:t>
      </w:r>
      <w:r>
        <w:rPr>
          <w:rStyle w:val="8"/>
          <w:rFonts w:ascii="Times New Roman" w:hAnsi="Times New Roman" w:cs="Times New Roman"/>
          <w:b w:val="0"/>
          <w:bCs w:val="0"/>
          <w:sz w:val="28"/>
          <w:szCs w:val="28"/>
        </w:rPr>
        <w:t xml:space="preserve"> – </w:t>
      </w:r>
      <w:r>
        <w:rPr>
          <w:rStyle w:val="8"/>
          <w:rFonts w:ascii="Times New Roman" w:hAnsi="Times New Roman" w:cs="Times New Roman"/>
          <w:b w:val="0"/>
          <w:bCs w:val="0"/>
          <w:sz w:val="28"/>
          <w:szCs w:val="28"/>
          <w:lang w:val="en-US"/>
        </w:rPr>
        <w:t>Re</w:t>
      </w:r>
      <w:r>
        <w:rPr>
          <w:rStyle w:val="8"/>
          <w:rFonts w:ascii="Times New Roman" w:hAnsi="Times New Roman" w:cs="Times New Roman"/>
          <w:b w:val="0"/>
          <w:bCs w:val="0"/>
          <w:sz w:val="28"/>
          <w:szCs w:val="28"/>
        </w:rPr>
        <w:t>.</w:t>
      </w:r>
    </w:p>
    <w:p w14:paraId="6565C218">
      <w:pPr>
        <w:pStyle w:val="38"/>
        <w:numPr>
          <w:ilvl w:val="3"/>
          <w:numId w:val="2"/>
        </w:numPr>
        <w:tabs>
          <w:tab w:val="left" w:pos="-5124"/>
          <w:tab w:val="clear" w:pos="0"/>
        </w:tabs>
        <w:spacing w:line="360" w:lineRule="auto"/>
        <w:ind w:left="1066" w:firstLine="709"/>
        <w:rPr>
          <w:rStyle w:val="8"/>
          <w:rFonts w:ascii="Times New Roman" w:hAnsi="Times New Roman" w:cs="Times New Roman"/>
          <w:b w:val="0"/>
          <w:bCs w:val="0"/>
          <w:sz w:val="28"/>
          <w:szCs w:val="28"/>
        </w:rPr>
      </w:pPr>
      <w:r>
        <w:rPr>
          <w:rStyle w:val="8"/>
          <w:rFonts w:ascii="Times New Roman" w:hAnsi="Times New Roman" w:cs="Times New Roman"/>
          <w:b w:val="0"/>
          <w:bCs w:val="0"/>
          <w:sz w:val="28"/>
          <w:szCs w:val="28"/>
        </w:rPr>
        <w:t>Найдены оптимальные условия синтеза: составы растворов, температура, время и плотность катодного тока.</w:t>
      </w:r>
    </w:p>
    <w:p w14:paraId="1897F8F3">
      <w:pPr>
        <w:pStyle w:val="38"/>
        <w:numPr>
          <w:ilvl w:val="3"/>
          <w:numId w:val="2"/>
        </w:numPr>
        <w:tabs>
          <w:tab w:val="left" w:pos="-4020"/>
          <w:tab w:val="clear" w:pos="0"/>
        </w:tabs>
        <w:spacing w:line="360" w:lineRule="auto"/>
        <w:ind w:left="1066" w:firstLine="709"/>
        <w:rPr>
          <w:rStyle w:val="8"/>
          <w:rFonts w:ascii="Times New Roman" w:hAnsi="Times New Roman" w:cs="Times New Roman"/>
          <w:b w:val="0"/>
          <w:bCs w:val="0"/>
          <w:sz w:val="28"/>
          <w:szCs w:val="28"/>
        </w:rPr>
      </w:pPr>
      <w:r>
        <w:rPr>
          <w:rStyle w:val="8"/>
          <w:rFonts w:ascii="Times New Roman" w:hAnsi="Times New Roman" w:cs="Times New Roman"/>
          <w:b w:val="0"/>
          <w:bCs w:val="0"/>
          <w:sz w:val="28"/>
          <w:szCs w:val="28"/>
        </w:rPr>
        <w:t>Показано, что эффективность процесса электроосаждения никеля на медь превышает эффективность осаждения хрома, что связано с затрудненным разрядом хромосодержащей комплексной частицы в приэлектродном пространстве.</w:t>
      </w:r>
    </w:p>
    <w:p w14:paraId="6F3DC32C">
      <w:pPr>
        <w:pStyle w:val="10"/>
        <w:numPr>
          <w:ilvl w:val="3"/>
          <w:numId w:val="2"/>
        </w:numPr>
        <w:tabs>
          <w:tab w:val="left" w:pos="-2916"/>
          <w:tab w:val="clear" w:pos="0"/>
        </w:tabs>
        <w:spacing w:after="360" w:line="360" w:lineRule="auto"/>
        <w:ind w:left="1066" w:firstLine="709"/>
        <w:jc w:val="both"/>
        <w:rPr>
          <w:rFonts w:ascii="Times New Roman" w:hAnsi="Times New Roman" w:cs="Times New Roman"/>
          <w:i w:val="0"/>
          <w:sz w:val="28"/>
          <w:szCs w:val="28"/>
        </w:rPr>
      </w:pPr>
      <w:r>
        <w:rPr>
          <w:rStyle w:val="8"/>
          <w:rFonts w:ascii="Times New Roman" w:hAnsi="Times New Roman" w:cs="Times New Roman"/>
          <w:b w:val="0"/>
          <w:bCs w:val="0"/>
          <w:i w:val="0"/>
          <w:sz w:val="28"/>
          <w:szCs w:val="28"/>
        </w:rPr>
        <w:t>Электроосаждение хрома в системе</w:t>
      </w:r>
      <w:r>
        <w:rPr>
          <w:rStyle w:val="8"/>
          <w:rFonts w:ascii="Times New Roman" w:hAnsi="Times New Roman" w:cs="Times New Roman"/>
          <w:b w:val="0"/>
          <w:bCs w:val="0"/>
          <w:sz w:val="28"/>
          <w:szCs w:val="28"/>
        </w:rPr>
        <w:t xml:space="preserve"> </w:t>
      </w:r>
      <w:r>
        <w:rPr>
          <w:rStyle w:val="8"/>
          <w:rFonts w:ascii="Times New Roman" w:hAnsi="Times New Roman" w:cs="Times New Roman"/>
          <w:bCs w:val="0"/>
          <w:sz w:val="28"/>
          <w:szCs w:val="28"/>
          <w:lang w:val="en-US"/>
        </w:rPr>
        <w:t>Cr</w:t>
      </w:r>
      <w:r>
        <w:rPr>
          <w:rStyle w:val="8"/>
          <w:rFonts w:ascii="Times New Roman" w:hAnsi="Times New Roman" w:cs="Times New Roman"/>
          <w:bCs w:val="0"/>
          <w:sz w:val="28"/>
          <w:szCs w:val="28"/>
        </w:rPr>
        <w:t>/</w:t>
      </w:r>
      <w:r>
        <w:rPr>
          <w:rStyle w:val="8"/>
          <w:rFonts w:ascii="Times New Roman" w:hAnsi="Times New Roman" w:cs="Times New Roman"/>
          <w:bCs w:val="0"/>
          <w:sz w:val="28"/>
          <w:szCs w:val="28"/>
          <w:lang w:val="en-US"/>
        </w:rPr>
        <w:t>Ni</w:t>
      </w:r>
      <w:r>
        <w:rPr>
          <w:rStyle w:val="8"/>
          <w:rFonts w:ascii="Times New Roman" w:hAnsi="Times New Roman" w:cs="Times New Roman"/>
          <w:bCs w:val="0"/>
          <w:sz w:val="28"/>
          <w:szCs w:val="28"/>
        </w:rPr>
        <w:t>/сплав</w:t>
      </w:r>
      <w:r>
        <w:rPr>
          <w:rStyle w:val="8"/>
          <w:rFonts w:ascii="Times New Roman" w:hAnsi="Times New Roman" w:cs="Times New Roman"/>
          <w:b w:val="0"/>
          <w:bCs w:val="0"/>
          <w:sz w:val="28"/>
          <w:szCs w:val="28"/>
        </w:rPr>
        <w:t xml:space="preserve"> </w:t>
      </w:r>
      <w:r>
        <w:rPr>
          <w:rStyle w:val="8"/>
          <w:rFonts w:ascii="Times New Roman" w:hAnsi="Times New Roman" w:cs="Times New Roman"/>
          <w:b w:val="0"/>
          <w:bCs w:val="0"/>
          <w:i w:val="0"/>
          <w:sz w:val="28"/>
          <w:szCs w:val="28"/>
        </w:rPr>
        <w:t>протекает с большим выходом по току, нежели в системе</w:t>
      </w:r>
      <w:r>
        <w:rPr>
          <w:rStyle w:val="8"/>
          <w:rFonts w:ascii="Times New Roman" w:hAnsi="Times New Roman" w:cs="Times New Roman"/>
          <w:b w:val="0"/>
          <w:bCs w:val="0"/>
          <w:sz w:val="28"/>
          <w:szCs w:val="28"/>
        </w:rPr>
        <w:t xml:space="preserve"> </w:t>
      </w:r>
      <w:r>
        <w:rPr>
          <w:rStyle w:val="8"/>
          <w:rFonts w:ascii="Times New Roman" w:hAnsi="Times New Roman" w:cs="Times New Roman"/>
          <w:bCs w:val="0"/>
          <w:sz w:val="28"/>
          <w:szCs w:val="28"/>
          <w:lang w:val="en-US"/>
        </w:rPr>
        <w:t>Cr</w:t>
      </w:r>
      <w:r>
        <w:rPr>
          <w:rStyle w:val="8"/>
          <w:rFonts w:ascii="Times New Roman" w:hAnsi="Times New Roman" w:cs="Times New Roman"/>
          <w:bCs w:val="0"/>
          <w:sz w:val="28"/>
          <w:szCs w:val="28"/>
        </w:rPr>
        <w:t>/</w:t>
      </w:r>
      <w:r>
        <w:rPr>
          <w:rStyle w:val="8"/>
          <w:rFonts w:ascii="Times New Roman" w:hAnsi="Times New Roman" w:cs="Times New Roman"/>
          <w:bCs w:val="0"/>
          <w:sz w:val="28"/>
          <w:szCs w:val="28"/>
          <w:lang w:val="en-US"/>
        </w:rPr>
        <w:t>Ni</w:t>
      </w:r>
      <w:r>
        <w:rPr>
          <w:rStyle w:val="8"/>
          <w:rFonts w:ascii="Times New Roman" w:hAnsi="Times New Roman" w:cs="Times New Roman"/>
          <w:bCs w:val="0"/>
          <w:sz w:val="28"/>
          <w:szCs w:val="28"/>
        </w:rPr>
        <w:t>/</w:t>
      </w:r>
      <w:r>
        <w:rPr>
          <w:rStyle w:val="8"/>
          <w:rFonts w:ascii="Times New Roman" w:hAnsi="Times New Roman" w:cs="Times New Roman"/>
          <w:bCs w:val="0"/>
          <w:sz w:val="28"/>
          <w:szCs w:val="28"/>
          <w:lang w:val="en-US"/>
        </w:rPr>
        <w:t>Cu</w:t>
      </w:r>
      <w:r>
        <w:rPr>
          <w:rStyle w:val="8"/>
          <w:rFonts w:ascii="Times New Roman" w:hAnsi="Times New Roman" w:cs="Times New Roman"/>
          <w:b w:val="0"/>
          <w:bCs w:val="0"/>
          <w:i w:val="0"/>
          <w:sz w:val="28"/>
          <w:szCs w:val="28"/>
        </w:rPr>
        <w:t xml:space="preserve"> в силу того, что поверхностные механические дефекты сплава, профиль которых повторило никелевое покрытие, сыграли роль активных центров при электроосаждении.</w:t>
      </w:r>
    </w:p>
    <w:p w14:paraId="7A679D67">
      <w:pPr>
        <w:spacing w:line="360" w:lineRule="auto"/>
        <w:jc w:val="both"/>
        <w:rPr>
          <w:rFonts w:eastAsiaTheme="minorHAnsi"/>
          <w:sz w:val="28"/>
          <w:szCs w:val="28"/>
          <w:lang w:val="en-US" w:eastAsia="en-US"/>
        </w:rPr>
      </w:pPr>
    </w:p>
    <w:p w14:paraId="5A382813">
      <w:pPr>
        <w:spacing w:line="360" w:lineRule="auto"/>
        <w:ind w:firstLine="709"/>
        <w:jc w:val="both"/>
        <w:rPr>
          <w:rStyle w:val="8"/>
          <w:b w:val="0"/>
          <w:bCs w:val="0"/>
          <w:sz w:val="28"/>
          <w:szCs w:val="28"/>
        </w:rPr>
      </w:pPr>
    </w:p>
    <w:p w14:paraId="1AC11531">
      <w:pPr>
        <w:rPr>
          <w:rStyle w:val="8"/>
          <w:b w:val="0"/>
          <w:bCs w:val="0"/>
        </w:rPr>
      </w:pPr>
    </w:p>
    <w:p w14:paraId="2DD35BBD">
      <w:pPr>
        <w:rPr>
          <w:rStyle w:val="8"/>
          <w:b w:val="0"/>
          <w:bCs w:val="0"/>
        </w:rPr>
      </w:pPr>
    </w:p>
    <w:p w14:paraId="0BA91F9D">
      <w:pPr>
        <w:rPr>
          <w:rStyle w:val="8"/>
          <w:b w:val="0"/>
          <w:bCs w:val="0"/>
        </w:rPr>
      </w:pPr>
    </w:p>
    <w:p w14:paraId="1291526E">
      <w:pPr>
        <w:rPr>
          <w:rStyle w:val="8"/>
          <w:b w:val="0"/>
          <w:bCs w:val="0"/>
        </w:rPr>
      </w:pPr>
    </w:p>
    <w:p w14:paraId="4CAC95EF">
      <w:pPr>
        <w:rPr>
          <w:rStyle w:val="8"/>
          <w:b w:val="0"/>
          <w:bCs w:val="0"/>
        </w:rPr>
      </w:pPr>
    </w:p>
    <w:p w14:paraId="1B1DD7E1">
      <w:pPr>
        <w:rPr>
          <w:rStyle w:val="8"/>
          <w:b w:val="0"/>
          <w:bCs w:val="0"/>
        </w:rPr>
      </w:pPr>
    </w:p>
    <w:p w14:paraId="19192F92">
      <w:pPr>
        <w:rPr>
          <w:rStyle w:val="8"/>
          <w:b w:val="0"/>
          <w:bCs w:val="0"/>
        </w:rPr>
      </w:pPr>
    </w:p>
    <w:p w14:paraId="2290C4C8">
      <w:pPr>
        <w:rPr>
          <w:rStyle w:val="8"/>
          <w:b w:val="0"/>
          <w:bCs w:val="0"/>
        </w:rPr>
      </w:pPr>
    </w:p>
    <w:p w14:paraId="04A4B59F">
      <w:pPr>
        <w:rPr>
          <w:rStyle w:val="8"/>
          <w:b w:val="0"/>
          <w:bCs w:val="0"/>
        </w:rPr>
      </w:pPr>
    </w:p>
    <w:p w14:paraId="576C302A">
      <w:pPr>
        <w:rPr>
          <w:rStyle w:val="8"/>
          <w:b w:val="0"/>
          <w:bCs w:val="0"/>
        </w:rPr>
      </w:pPr>
    </w:p>
    <w:p w14:paraId="0712C1DF">
      <w:pPr>
        <w:rPr>
          <w:rStyle w:val="8"/>
          <w:b w:val="0"/>
          <w:bCs w:val="0"/>
        </w:rPr>
      </w:pPr>
    </w:p>
    <w:p w14:paraId="1D4BD5B5">
      <w:pPr>
        <w:rPr>
          <w:rStyle w:val="8"/>
          <w:b w:val="0"/>
          <w:bCs w:val="0"/>
        </w:rPr>
      </w:pPr>
    </w:p>
    <w:p w14:paraId="361FC4C1">
      <w:pPr>
        <w:rPr>
          <w:rStyle w:val="8"/>
          <w:b w:val="0"/>
          <w:bCs w:val="0"/>
        </w:rPr>
      </w:pPr>
    </w:p>
    <w:p w14:paraId="4D78B392">
      <w:pPr>
        <w:rPr>
          <w:rStyle w:val="8"/>
          <w:b w:val="0"/>
          <w:bCs w:val="0"/>
        </w:rPr>
      </w:pPr>
    </w:p>
    <w:p w14:paraId="7EA60CC6">
      <w:pPr>
        <w:spacing w:line="360" w:lineRule="auto"/>
        <w:jc w:val="both"/>
        <w:rPr>
          <w:rStyle w:val="8"/>
          <w:b w:val="0"/>
          <w:bCs w:val="0"/>
          <w:sz w:val="28"/>
          <w:szCs w:val="28"/>
        </w:rPr>
      </w:pPr>
      <w:r>
        <w:rPr>
          <w:rStyle w:val="8"/>
          <w:b w:val="0"/>
          <w:bCs w:val="0"/>
          <w:sz w:val="28"/>
          <w:szCs w:val="28"/>
        </w:rPr>
        <w:t>Автор выражает благодарность Ивану Игоревичу Федораеву и Александру Валерьевичу Кнотько за помощь в выполнении работы.</w:t>
      </w:r>
    </w:p>
    <w:p w14:paraId="0C1767C1">
      <w:pPr>
        <w:rPr>
          <w:rStyle w:val="8"/>
          <w:b w:val="0"/>
          <w:bCs w:val="0"/>
        </w:rPr>
      </w:pPr>
    </w:p>
    <w:p w14:paraId="48E90167">
      <w:pPr>
        <w:pStyle w:val="2"/>
        <w:spacing w:before="0"/>
        <w:rPr>
          <w:rStyle w:val="8"/>
          <w:rFonts w:cs="Times New Roman"/>
          <w:b/>
          <w:bCs/>
          <w:lang w:val="en-US"/>
        </w:rPr>
      </w:pPr>
      <w:bookmarkStart w:id="26" w:name="_Toc167999813"/>
      <w:r>
        <w:rPr>
          <w:rStyle w:val="8"/>
          <w:rFonts w:cs="Times New Roman"/>
          <w:b/>
          <w:bCs/>
        </w:rPr>
        <w:t>Список</w:t>
      </w:r>
      <w:r>
        <w:rPr>
          <w:rStyle w:val="8"/>
          <w:rFonts w:cs="Times New Roman"/>
          <w:b/>
          <w:bCs/>
          <w:lang w:val="en-US"/>
        </w:rPr>
        <w:t xml:space="preserve"> </w:t>
      </w:r>
      <w:r>
        <w:rPr>
          <w:rStyle w:val="8"/>
          <w:rFonts w:cs="Times New Roman"/>
          <w:b/>
          <w:bCs/>
        </w:rPr>
        <w:t>литературы</w:t>
      </w:r>
      <w:bookmarkEnd w:id="26"/>
    </w:p>
    <w:p w14:paraId="42EDE255">
      <w:pPr>
        <w:spacing w:line="360" w:lineRule="auto"/>
        <w:jc w:val="both"/>
        <w:rPr>
          <w:color w:val="000000" w:themeColor="text1"/>
          <w:sz w:val="28"/>
          <w:szCs w:val="28"/>
          <w:lang w:val="en-US"/>
          <w14:textFill>
            <w14:solidFill>
              <w14:schemeClr w14:val="tx1"/>
            </w14:solidFill>
          </w14:textFill>
        </w:rPr>
      </w:pPr>
      <w:r>
        <w:rPr>
          <w:color w:val="000000" w:themeColor="text1"/>
          <w:sz w:val="28"/>
          <w:szCs w:val="28"/>
          <w:lang w:val="en-US"/>
          <w14:textFill>
            <w14:solidFill>
              <w14:schemeClr w14:val="tx1"/>
            </w14:solidFill>
          </w14:textFill>
        </w:rPr>
        <w:t>1. S. Jeyaraja, K.P. Arulshrib, S.Rameshc, G.Muthukumarand // Experimental investigations and effects studies on electrodeposited Ni-Cr composite coating using robust design approach // J. Materials Today: Proceedings V. 5, 2018, pp. 6999–7008.</w:t>
      </w:r>
    </w:p>
    <w:p w14:paraId="4320E501">
      <w:pPr>
        <w:spacing w:line="360" w:lineRule="auto"/>
        <w:jc w:val="both"/>
        <w:rPr>
          <w:color w:val="000000" w:themeColor="text1"/>
          <w:sz w:val="28"/>
          <w:szCs w:val="28"/>
          <w:lang w:val="en-US"/>
          <w14:textFill>
            <w14:solidFill>
              <w14:schemeClr w14:val="tx1"/>
            </w14:solidFill>
          </w14:textFill>
        </w:rPr>
      </w:pPr>
      <w:r>
        <w:rPr>
          <w:color w:val="000000" w:themeColor="text1"/>
          <w:sz w:val="28"/>
          <w:szCs w:val="28"/>
          <w:lang w:val="en-US"/>
          <w14:textFill>
            <w14:solidFill>
              <w14:schemeClr w14:val="tx1"/>
            </w14:solidFill>
          </w14:textFill>
        </w:rPr>
        <w:t xml:space="preserve">2. Shubin Liu , Ikuo Shohji, Tatsuya Kobayashi, Junichiro Hirohashi, Tsunehito Wake, Hiroki Yamamoto , Yuichiro Kamakoshi // Mechanistic study of Ni–Cr–P alloy electrodeposition and characterization of deposits //  Journal of Electroanalytical Chemistry 897, 2021, pp. 1-3. </w:t>
      </w:r>
    </w:p>
    <w:p w14:paraId="3650509D">
      <w:pPr>
        <w:spacing w:line="360" w:lineRule="auto"/>
        <w:jc w:val="both"/>
        <w:rPr>
          <w:i/>
          <w:color w:val="000000" w:themeColor="text1"/>
          <w:sz w:val="28"/>
          <w:szCs w:val="28"/>
          <w:lang w:val="en-US"/>
          <w14:textFill>
            <w14:solidFill>
              <w14:schemeClr w14:val="tx1"/>
            </w14:solidFill>
          </w14:textFill>
        </w:rPr>
      </w:pPr>
      <w:r>
        <w:rPr>
          <w:color w:val="000000" w:themeColor="text1"/>
          <w:sz w:val="28"/>
          <w:szCs w:val="28"/>
          <w:lang w:val="en-US"/>
          <w14:textFill>
            <w14:solidFill>
              <w14:schemeClr w14:val="tx1"/>
            </w14:solidFill>
          </w14:textFill>
        </w:rPr>
        <w:t>3. T. Hanawa // Metals for Biomedical Devices (Second Edition) // J. Materials Today: Proceedings, V. 7, 2019, pp. 3-29.</w:t>
      </w:r>
    </w:p>
    <w:p w14:paraId="5DF84EEE">
      <w:pPr>
        <w:spacing w:line="360" w:lineRule="auto"/>
        <w:jc w:val="both"/>
        <w:rPr>
          <w:color w:val="000000" w:themeColor="text1"/>
          <w:sz w:val="28"/>
          <w:szCs w:val="28"/>
          <w:lang w:val="en-US"/>
          <w14:textFill>
            <w14:solidFill>
              <w14:schemeClr w14:val="tx1"/>
            </w14:solidFill>
          </w14:textFill>
        </w:rPr>
      </w:pPr>
      <w:r>
        <w:rPr>
          <w:color w:val="000000" w:themeColor="text1"/>
          <w:sz w:val="28"/>
          <w:szCs w:val="28"/>
          <w:lang w:val="en-US"/>
          <w14:textFill>
            <w14:solidFill>
              <w14:schemeClr w14:val="tx1"/>
            </w14:solidFill>
          </w14:textFill>
        </w:rPr>
        <w:t>4. Aumpava Kunyarong, Kittichai Fakpan // Cr–Ni alloy coating electrodeposited on T22 steel // J. Materials Today: Proceedings, V. 5, 2018, pp. 9244-9249.</w:t>
      </w:r>
    </w:p>
    <w:p w14:paraId="4E2C73BE">
      <w:pPr>
        <w:spacing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5. Ю. Д. Гамбург, Джованни Зангари // Теория и практика электроосаждения металлов // М. : БИНОМ, 2015, 22 c.</w:t>
      </w:r>
    </w:p>
    <w:p w14:paraId="71788493">
      <w:pPr>
        <w:spacing w:line="360" w:lineRule="auto"/>
        <w:jc w:val="both"/>
        <w:rPr>
          <w:color w:val="000000" w:themeColor="text1"/>
          <w:sz w:val="28"/>
          <w:szCs w:val="28"/>
          <w:lang w:val="en-US"/>
          <w14:textFill>
            <w14:solidFill>
              <w14:schemeClr w14:val="tx1"/>
            </w14:solidFill>
          </w14:textFill>
        </w:rPr>
      </w:pPr>
      <w:r>
        <w:rPr>
          <w:color w:val="000000" w:themeColor="text1"/>
          <w:sz w:val="28"/>
          <w:szCs w:val="28"/>
          <w:lang w:val="en-US"/>
          <w14:textFill>
            <w14:solidFill>
              <w14:schemeClr w14:val="tx1"/>
            </w14:solidFill>
          </w14:textFill>
        </w:rPr>
        <w:t>6. F. Nasirpouri // Electrodeposition of Nanostructured Materials // Springer International Publishing, 2017, pp. 858-859.</w:t>
      </w:r>
    </w:p>
    <w:p w14:paraId="00FED2D2">
      <w:pPr>
        <w:spacing w:line="360" w:lineRule="auto"/>
        <w:jc w:val="both"/>
        <w:rPr>
          <w:color w:val="000000" w:themeColor="text1"/>
          <w:sz w:val="28"/>
          <w:szCs w:val="28"/>
          <w:lang w:val="en-US"/>
          <w14:textFill>
            <w14:solidFill>
              <w14:schemeClr w14:val="tx1"/>
            </w14:solidFill>
          </w14:textFill>
        </w:rPr>
      </w:pPr>
      <w:r>
        <w:rPr>
          <w:color w:val="000000" w:themeColor="text1"/>
          <w:sz w:val="28"/>
          <w:szCs w:val="28"/>
          <w:lang w:val="en-US"/>
          <w14:textFill>
            <w14:solidFill>
              <w14:schemeClr w14:val="tx1"/>
            </w14:solidFill>
          </w14:textFill>
        </w:rPr>
        <w:t>7. H.F. Hildebrand, C. Veron, P. Martin // Nickel, chromium, cobalt dental alloys and allergic reactions: an overview, Biomaterials , 1989, pp. 201-211.</w:t>
      </w:r>
    </w:p>
    <w:p w14:paraId="7A59C87B">
      <w:pPr>
        <w:spacing w:line="360" w:lineRule="auto"/>
        <w:jc w:val="both"/>
        <w:rPr>
          <w:rStyle w:val="30"/>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8. </w:t>
      </w:r>
      <w:r>
        <w:rPr>
          <w:sz w:val="28"/>
          <w:szCs w:val="28"/>
        </w:rPr>
        <w:t xml:space="preserve">А.В. Баранова, Т.В. Калинина // </w:t>
      </w:r>
      <w:r>
        <w:fldChar w:fldCharType="begin"/>
      </w:r>
      <w:r>
        <w:instrText xml:space="preserve"> HYPERLINK "https://studfile.net/orelgtu/1617/folder:5497/" \l "1199880" </w:instrText>
      </w:r>
      <w:r>
        <w:fldChar w:fldCharType="separate"/>
      </w:r>
      <w:r>
        <w:rPr>
          <w:rStyle w:val="7"/>
          <w:color w:val="000000" w:themeColor="text1"/>
          <w:sz w:val="28"/>
          <w:szCs w:val="28"/>
          <w:u w:val="none"/>
          <w14:textFill>
            <w14:solidFill>
              <w14:schemeClr w14:val="tx1"/>
            </w14:solidFill>
          </w14:textFill>
        </w:rPr>
        <w:t>Физико-</w:t>
      </w:r>
      <w:r>
        <w:rPr>
          <w:rStyle w:val="7"/>
          <w:color w:val="000000" w:themeColor="text1"/>
          <w:sz w:val="28"/>
          <w:szCs w:val="28"/>
          <w:u w:val="none"/>
          <w14:textFill>
            <w14:solidFill>
              <w14:schemeClr w14:val="tx1"/>
            </w14:solidFill>
          </w14:textFill>
        </w:rPr>
        <w:fldChar w:fldCharType="end"/>
      </w:r>
      <w:r>
        <w:rPr>
          <w:rStyle w:val="7"/>
          <w:color w:val="000000" w:themeColor="text1"/>
          <w:sz w:val="28"/>
          <w:szCs w:val="28"/>
          <w:u w:val="none"/>
          <w14:textFill>
            <w14:solidFill>
              <w14:schemeClr w14:val="tx1"/>
            </w14:solidFill>
          </w14:textFill>
        </w:rPr>
        <w:t>химические основы технологии электронных средств</w:t>
      </w:r>
      <w:r>
        <w:rPr>
          <w:color w:val="000000" w:themeColor="text1"/>
          <w:sz w:val="28"/>
          <w:szCs w:val="28"/>
          <w14:textFill>
            <w14:solidFill>
              <w14:schemeClr w14:val="tx1"/>
            </w14:solidFill>
          </w14:textFill>
        </w:rPr>
        <w:t xml:space="preserve"> // </w:t>
      </w:r>
      <w:r>
        <w:fldChar w:fldCharType="begin"/>
      </w:r>
      <w:r>
        <w:instrText xml:space="preserve"> HYPERLINK "https://studfile.net/orelgtu/1617/folder:5497/" \l "1199860" </w:instrText>
      </w:r>
      <w:r>
        <w:fldChar w:fldCharType="separate"/>
      </w:r>
      <w:r>
        <w:rPr>
          <w:rStyle w:val="7"/>
          <w:color w:val="000000" w:themeColor="text1"/>
          <w:sz w:val="28"/>
          <w:szCs w:val="28"/>
          <w:u w:val="none"/>
          <w14:textFill>
            <w14:solidFill>
              <w14:schemeClr w14:val="tx1"/>
            </w14:solidFill>
          </w14:textFill>
        </w:rPr>
        <w:t>Лекции</w:t>
      </w:r>
      <w:r>
        <w:rPr>
          <w:rStyle w:val="7"/>
          <w:color w:val="000000" w:themeColor="text1"/>
          <w:sz w:val="28"/>
          <w:szCs w:val="28"/>
          <w:u w:val="none"/>
          <w14:textFill>
            <w14:solidFill>
              <w14:schemeClr w14:val="tx1"/>
            </w14:solidFill>
          </w14:textFill>
        </w:rPr>
        <w:fldChar w:fldCharType="end"/>
      </w:r>
      <w:r>
        <w:rPr>
          <w:rStyle w:val="30"/>
          <w:color w:val="000000" w:themeColor="text1"/>
          <w:sz w:val="28"/>
          <w:szCs w:val="28"/>
          <w14:textFill>
            <w14:solidFill>
              <w14:schemeClr w14:val="tx1"/>
            </w14:solidFill>
          </w14:textFill>
        </w:rPr>
        <w:t>  //  </w:t>
      </w:r>
      <w:r>
        <w:fldChar w:fldCharType="begin"/>
      </w:r>
      <w:r>
        <w:instrText xml:space="preserve"> HYPERLINK "https://studfile.net/orelgtu/1617/folder:5497/" \l "1199861" </w:instrText>
      </w:r>
      <w:r>
        <w:fldChar w:fldCharType="separate"/>
      </w:r>
      <w:r>
        <w:rPr>
          <w:rStyle w:val="7"/>
          <w:color w:val="000000" w:themeColor="text1"/>
          <w:sz w:val="28"/>
          <w:szCs w:val="28"/>
          <w:u w:val="none"/>
          <w14:textFill>
            <w14:solidFill>
              <w14:schemeClr w14:val="tx1"/>
            </w14:solidFill>
          </w14:textFill>
        </w:rPr>
        <w:t>Конспект лекций по ФХОТЭС. ЮЗГУ</w:t>
      </w:r>
      <w:r>
        <w:rPr>
          <w:rStyle w:val="7"/>
          <w:color w:val="000000" w:themeColor="text1"/>
          <w:sz w:val="28"/>
          <w:szCs w:val="28"/>
          <w:u w:val="none"/>
          <w14:textFill>
            <w14:solidFill>
              <w14:schemeClr w14:val="tx1"/>
            </w14:solidFill>
          </w14:textFill>
        </w:rPr>
        <w:fldChar w:fldCharType="end"/>
      </w:r>
      <w:r>
        <w:rPr>
          <w:rStyle w:val="7"/>
          <w:color w:val="000000" w:themeColor="text1"/>
          <w:sz w:val="28"/>
          <w:szCs w:val="28"/>
          <w:u w:val="none"/>
          <w14:textFill>
            <w14:solidFill>
              <w14:schemeClr w14:val="tx1"/>
            </w14:solidFill>
          </w14:textFill>
        </w:rPr>
        <w:t>.</w:t>
      </w:r>
      <w:r>
        <w:rPr>
          <w:rStyle w:val="30"/>
          <w:color w:val="000000" w:themeColor="text1"/>
          <w:sz w:val="28"/>
          <w:szCs w:val="28"/>
          <w:lang w:val="en-US"/>
          <w14:textFill>
            <w14:solidFill>
              <w14:schemeClr w14:val="tx1"/>
            </w14:solidFill>
          </w14:textFill>
        </w:rPr>
        <w:t> </w:t>
      </w:r>
      <w:r>
        <w:rPr>
          <w:rStyle w:val="30"/>
          <w:color w:val="000000" w:themeColor="text1"/>
          <w:sz w:val="28"/>
          <w:szCs w:val="28"/>
          <w14:textFill>
            <w14:solidFill>
              <w14:schemeClr w14:val="tx1"/>
            </w14:solidFill>
          </w14:textFill>
        </w:rPr>
        <w:t>//</w:t>
      </w:r>
      <w:r>
        <w:rPr>
          <w:rStyle w:val="30"/>
          <w:color w:val="000000" w:themeColor="text1"/>
          <w:sz w:val="28"/>
          <w:szCs w:val="28"/>
          <w:lang w:val="en-US"/>
          <w14:textFill>
            <w14:solidFill>
              <w14:schemeClr w14:val="tx1"/>
            </w14:solidFill>
          </w14:textFill>
        </w:rPr>
        <w:t> </w:t>
      </w:r>
      <w:r>
        <w:fldChar w:fldCharType="begin"/>
      </w:r>
      <w:r>
        <w:instrText xml:space="preserve"> HYPERLINK "https://studfile.net/orelgtu/1617/folder:5497/" \l "1199863" </w:instrText>
      </w:r>
      <w:r>
        <w:fldChar w:fldCharType="separate"/>
      </w:r>
      <w:r>
        <w:rPr>
          <w:rStyle w:val="7"/>
          <w:color w:val="000000" w:themeColor="text1"/>
          <w:sz w:val="28"/>
          <w:szCs w:val="28"/>
          <w:u w:val="none"/>
          <w14:textFill>
            <w14:solidFill>
              <w14:schemeClr w14:val="tx1"/>
            </w14:solidFill>
          </w14:textFill>
        </w:rPr>
        <w:t>Конспект</w:t>
      </w:r>
      <w:r>
        <w:rPr>
          <w:rStyle w:val="7"/>
          <w:color w:val="000000" w:themeColor="text1"/>
          <w:sz w:val="28"/>
          <w:szCs w:val="28"/>
          <w:u w:val="none"/>
          <w14:textFill>
            <w14:solidFill>
              <w14:schemeClr w14:val="tx1"/>
            </w14:solidFill>
          </w14:textFill>
        </w:rPr>
        <w:fldChar w:fldCharType="end"/>
      </w:r>
      <w:r>
        <w:rPr>
          <w:rStyle w:val="7"/>
          <w:color w:val="000000" w:themeColor="text1"/>
          <w:sz w:val="28"/>
          <w:szCs w:val="28"/>
          <w:u w:val="none"/>
          <w14:textFill>
            <w14:solidFill>
              <w14:schemeClr w14:val="tx1"/>
            </w14:solidFill>
          </w14:textFill>
        </w:rPr>
        <w:t xml:space="preserve"> лекций</w:t>
      </w:r>
      <w:r>
        <w:rPr>
          <w:rStyle w:val="30"/>
          <w:color w:val="000000" w:themeColor="text1"/>
          <w:sz w:val="28"/>
          <w:szCs w:val="28"/>
          <w:lang w:val="en-US"/>
          <w14:textFill>
            <w14:solidFill>
              <w14:schemeClr w14:val="tx1"/>
            </w14:solidFill>
          </w14:textFill>
        </w:rPr>
        <w:t> </w:t>
      </w:r>
      <w:r>
        <w:rPr>
          <w:rStyle w:val="30"/>
          <w:color w:val="000000" w:themeColor="text1"/>
          <w:sz w:val="28"/>
          <w:szCs w:val="28"/>
          <w14:textFill>
            <w14:solidFill>
              <w14:schemeClr w14:val="tx1"/>
            </w14:solidFill>
          </w14:textFill>
        </w:rPr>
        <w:t>//</w:t>
      </w:r>
      <w:r>
        <w:rPr>
          <w:rStyle w:val="30"/>
          <w:color w:val="000000" w:themeColor="text1"/>
          <w:sz w:val="28"/>
          <w:szCs w:val="28"/>
          <w:lang w:val="en-US"/>
          <w14:textFill>
            <w14:solidFill>
              <w14:schemeClr w14:val="tx1"/>
            </w14:solidFill>
          </w14:textFill>
        </w:rPr>
        <w:t> </w:t>
      </w:r>
      <w:r>
        <w:rPr>
          <w:rStyle w:val="30"/>
          <w:color w:val="000000" w:themeColor="text1"/>
          <w:sz w:val="28"/>
          <w:szCs w:val="28"/>
          <w14:textFill>
            <w14:solidFill>
              <w14:schemeClr w14:val="tx1"/>
            </w14:solidFill>
          </w14:textFill>
        </w:rPr>
        <w:t xml:space="preserve">2004, 104 </w:t>
      </w:r>
      <w:r>
        <w:rPr>
          <w:rStyle w:val="30"/>
          <w:color w:val="000000" w:themeColor="text1"/>
          <w:sz w:val="28"/>
          <w:szCs w:val="28"/>
          <w:lang w:val="en-US"/>
          <w14:textFill>
            <w14:solidFill>
              <w14:schemeClr w14:val="tx1"/>
            </w14:solidFill>
          </w14:textFill>
        </w:rPr>
        <w:t>c</w:t>
      </w:r>
      <w:r>
        <w:rPr>
          <w:rStyle w:val="30"/>
          <w:color w:val="000000" w:themeColor="text1"/>
          <w:sz w:val="28"/>
          <w:szCs w:val="28"/>
          <w14:textFill>
            <w14:solidFill>
              <w14:schemeClr w14:val="tx1"/>
            </w14:solidFill>
          </w14:textFill>
        </w:rPr>
        <w:t>.</w:t>
      </w:r>
    </w:p>
    <w:p w14:paraId="5C98D087">
      <w:pPr>
        <w:spacing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9. А. У. Казулин, С. К. Рахманов, С. А. Максименка // Избранные научные труды Белорусского государственного университета в семи томах, том 5 // 2001, 215 с.</w:t>
      </w:r>
    </w:p>
    <w:p w14:paraId="48B03755">
      <w:pPr>
        <w:rPr>
          <w:lang w:eastAsia="en-US"/>
        </w:rPr>
      </w:pPr>
    </w:p>
    <w:p w14:paraId="15760047">
      <w:pPr>
        <w:spacing w:line="360" w:lineRule="auto"/>
        <w:jc w:val="both"/>
        <w:rPr>
          <w:color w:val="000000" w:themeColor="text1"/>
          <w:sz w:val="28"/>
          <w:szCs w:val="28"/>
          <w:lang w:val="en-US"/>
          <w14:textFill>
            <w14:solidFill>
              <w14:schemeClr w14:val="tx1"/>
            </w14:solidFill>
          </w14:textFill>
        </w:rPr>
      </w:pPr>
      <w:r>
        <w:rPr>
          <w:color w:val="000000" w:themeColor="text1"/>
          <w:sz w:val="28"/>
          <w:szCs w:val="28"/>
          <w14:textFill>
            <w14:solidFill>
              <w14:schemeClr w14:val="tx1"/>
            </w14:solidFill>
          </w14:textFill>
        </w:rPr>
        <w:t>10. В. В. Свиридов, Т. Н. Воробьева, Т. В. Гаевская, Л. И. Степанова // Химическое осаждение металлов из водных растворов // Минск. Изд</w:t>
      </w:r>
      <w:r>
        <w:rPr>
          <w:color w:val="000000" w:themeColor="text1"/>
          <w:sz w:val="28"/>
          <w:szCs w:val="28"/>
          <w:lang w:val="en-US"/>
          <w14:textFill>
            <w14:solidFill>
              <w14:schemeClr w14:val="tx1"/>
            </w14:solidFill>
          </w14:textFill>
        </w:rPr>
        <w:t>. «</w:t>
      </w:r>
      <w:r>
        <w:rPr>
          <w:color w:val="000000" w:themeColor="text1"/>
          <w:sz w:val="28"/>
          <w:szCs w:val="28"/>
          <w14:textFill>
            <w14:solidFill>
              <w14:schemeClr w14:val="tx1"/>
            </w14:solidFill>
          </w14:textFill>
        </w:rPr>
        <w:t>Университетское</w:t>
      </w:r>
      <w:r>
        <w:rPr>
          <w:color w:val="000000" w:themeColor="text1"/>
          <w:sz w:val="28"/>
          <w:szCs w:val="28"/>
          <w:lang w:val="en-US"/>
          <w14:textFill>
            <w14:solidFill>
              <w14:schemeClr w14:val="tx1"/>
            </w14:solidFill>
          </w14:textFill>
        </w:rPr>
        <w:t>», 1987, 269 c.</w:t>
      </w:r>
    </w:p>
    <w:p w14:paraId="0AB71D15">
      <w:pPr>
        <w:spacing w:line="360" w:lineRule="auto"/>
        <w:jc w:val="both"/>
        <w:rPr>
          <w:color w:val="000000" w:themeColor="text1"/>
          <w:sz w:val="28"/>
          <w:szCs w:val="28"/>
          <w:lang w:val="en-US"/>
          <w14:textFill>
            <w14:solidFill>
              <w14:schemeClr w14:val="tx1"/>
            </w14:solidFill>
          </w14:textFill>
        </w:rPr>
      </w:pPr>
      <w:r>
        <w:rPr>
          <w:color w:val="000000" w:themeColor="text1"/>
          <w:sz w:val="28"/>
          <w:szCs w:val="28"/>
          <w:lang w:val="en-US"/>
          <w14:textFill>
            <w14:solidFill>
              <w14:schemeClr w14:val="tx1"/>
            </w14:solidFill>
          </w14:textFill>
        </w:rPr>
        <w:t>11. A.G. Dolati, M. Ghorbani, A. Afshar, The electrodeposition of quaternary Fe-Cr-Ni-Mo alloys from the chloride-complexing agents electrolyte // Part I. Processing, Surf. Coat. Technol. 166 // 2003, pp. 105–110.</w:t>
      </w:r>
    </w:p>
    <w:p w14:paraId="5CDD5E72">
      <w:pPr>
        <w:spacing w:line="360" w:lineRule="auto"/>
        <w:jc w:val="both"/>
        <w:rPr>
          <w:color w:val="000000" w:themeColor="text1"/>
          <w:sz w:val="28"/>
          <w:szCs w:val="28"/>
          <w:lang w:val="en-US"/>
          <w14:textFill>
            <w14:solidFill>
              <w14:schemeClr w14:val="tx1"/>
            </w14:solidFill>
          </w14:textFill>
        </w:rPr>
      </w:pPr>
      <w:r>
        <w:rPr>
          <w:color w:val="000000" w:themeColor="text1"/>
          <w:sz w:val="28"/>
          <w:szCs w:val="28"/>
          <w:lang w:val="en-US"/>
          <w14:textFill>
            <w14:solidFill>
              <w14:schemeClr w14:val="tx1"/>
            </w14:solidFill>
          </w14:textFill>
        </w:rPr>
        <w:t xml:space="preserve"> 12. M. Takeuchi, Y. Nakajima, K. Hoshino, F. Kawamura, Controls of chromium and third element contents in nickel-base alloys for corrosion resistant alloys in hot HNO3-HF mixtures // J. Alloys Compd. // 2010, pp. 194–200. </w:t>
      </w:r>
    </w:p>
    <w:p w14:paraId="11B8F6C4">
      <w:pPr>
        <w:spacing w:line="360" w:lineRule="auto"/>
        <w:jc w:val="both"/>
        <w:rPr>
          <w:color w:val="000000" w:themeColor="text1"/>
          <w:sz w:val="28"/>
          <w:szCs w:val="28"/>
          <w:lang w:val="en-US"/>
          <w14:textFill>
            <w14:solidFill>
              <w14:schemeClr w14:val="tx1"/>
            </w14:solidFill>
          </w14:textFill>
        </w:rPr>
      </w:pPr>
      <w:r>
        <w:rPr>
          <w:color w:val="000000" w:themeColor="text1"/>
          <w:sz w:val="28"/>
          <w:szCs w:val="28"/>
          <w:lang w:val="en-US"/>
          <w14:textFill>
            <w14:solidFill>
              <w14:schemeClr w14:val="tx1"/>
            </w14:solidFill>
          </w14:textFill>
        </w:rPr>
        <w:t>13. Tavoosi, A. Barahimi, Corrosion behavior of amorphous-nanocrystalline Fe-Ni-Cr electrodeposited coatings // Surf. Interfaces. 8 // 2017, pp. 103–111.</w:t>
      </w:r>
    </w:p>
    <w:p w14:paraId="592E2EF2">
      <w:pPr>
        <w:spacing w:line="360" w:lineRule="auto"/>
        <w:jc w:val="both"/>
        <w:rPr>
          <w:color w:val="000000" w:themeColor="text1"/>
          <w:sz w:val="28"/>
          <w:szCs w:val="28"/>
          <w:lang w:val="en-US"/>
          <w14:textFill>
            <w14:solidFill>
              <w14:schemeClr w14:val="tx1"/>
            </w14:solidFill>
          </w14:textFill>
        </w:rPr>
      </w:pPr>
      <w:r>
        <w:rPr>
          <w:color w:val="000000" w:themeColor="text1"/>
          <w:sz w:val="28"/>
          <w:szCs w:val="28"/>
          <w:lang w:val="en-US"/>
          <w14:textFill>
            <w14:solidFill>
              <w14:schemeClr w14:val="tx1"/>
            </w14:solidFill>
          </w14:textFill>
        </w:rPr>
        <w:t>14. H. Zhang, L. Liu, J. Bai, X. Liu, Corrosion behavior and microstructure of electrodeposited nano-layered Ni–Cr coatings // Thin Solid Films 595 // 2015, pp. 36–40.</w:t>
      </w:r>
    </w:p>
    <w:p w14:paraId="509CE75D">
      <w:pPr>
        <w:spacing w:line="360" w:lineRule="auto"/>
        <w:jc w:val="both"/>
        <w:rPr>
          <w:color w:val="000000" w:themeColor="text1"/>
          <w:sz w:val="28"/>
          <w:szCs w:val="28"/>
          <w:lang w:val="en-US"/>
          <w14:textFill>
            <w14:solidFill>
              <w14:schemeClr w14:val="tx1"/>
            </w14:solidFill>
          </w14:textFill>
        </w:rPr>
      </w:pPr>
      <w:r>
        <w:rPr>
          <w:color w:val="000000" w:themeColor="text1"/>
          <w:sz w:val="28"/>
          <w:szCs w:val="28"/>
          <w:lang w:val="en-US"/>
          <w14:textFill>
            <w14:solidFill>
              <w14:schemeClr w14:val="tx1"/>
            </w14:solidFill>
          </w14:textFill>
        </w:rPr>
        <w:t xml:space="preserve"> 15. C.A. Huang, C.Y. Chen, C.C. Chen, T. Kelly, H.M. Lin, Microstructure analysis of a Cr–Ni multilayer pulse-electroplated in a bath containing trivalent chromium and divalent nickel ions // Surf. Coat. Technol. 255 // 2014, pp. 153–157.</w:t>
      </w:r>
    </w:p>
    <w:p w14:paraId="6BAB5FF9">
      <w:pPr>
        <w:spacing w:line="360" w:lineRule="auto"/>
        <w:jc w:val="both"/>
        <w:rPr>
          <w:color w:val="000000" w:themeColor="text1"/>
          <w:sz w:val="28"/>
          <w:szCs w:val="28"/>
          <w:lang w:val="en-US"/>
          <w14:textFill>
            <w14:solidFill>
              <w14:schemeClr w14:val="tx1"/>
            </w14:solidFill>
          </w14:textFill>
        </w:rPr>
      </w:pPr>
      <w:r>
        <w:rPr>
          <w:color w:val="000000" w:themeColor="text1"/>
          <w:sz w:val="28"/>
          <w:szCs w:val="28"/>
          <w:lang w:val="en-US"/>
          <w14:textFill>
            <w14:solidFill>
              <w14:schemeClr w14:val="tx1"/>
            </w14:solidFill>
          </w14:textFill>
        </w:rPr>
        <w:t xml:space="preserve"> 16. H. Adelkhani, M.R. Arshadi, Properties of Fe-Ni-Cr alloy coatings by using direct and pulse current electrodeposition // J. Alloys Compd. 476 // 2009, pp. 234–237.</w:t>
      </w:r>
    </w:p>
    <w:p w14:paraId="6A2074FE">
      <w:pPr>
        <w:spacing w:line="360" w:lineRule="auto"/>
        <w:jc w:val="both"/>
        <w:rPr>
          <w:color w:val="000000" w:themeColor="text1"/>
          <w:sz w:val="28"/>
          <w:szCs w:val="28"/>
          <w:lang w:val="en-US"/>
          <w14:textFill>
            <w14:solidFill>
              <w14:schemeClr w14:val="tx1"/>
            </w14:solidFill>
          </w14:textFill>
        </w:rPr>
      </w:pPr>
      <w:r>
        <w:rPr>
          <w:color w:val="000000" w:themeColor="text1"/>
          <w:sz w:val="28"/>
          <w:szCs w:val="28"/>
          <w:lang w:val="en-US"/>
          <w14:textFill>
            <w14:solidFill>
              <w14:schemeClr w14:val="tx1"/>
            </w14:solidFill>
          </w14:textFill>
        </w:rPr>
        <w:t xml:space="preserve"> 17. R. Giovanardi, G. Orlando, Chromium electrodeposition from Cr (III) aqueous solutions // Surf. Coat. Technol. 205 // 2011, pp. 3947–3955.</w:t>
      </w:r>
    </w:p>
    <w:p w14:paraId="37AC85B9">
      <w:pPr>
        <w:spacing w:line="360" w:lineRule="auto"/>
        <w:jc w:val="both"/>
        <w:rPr>
          <w:color w:val="000000" w:themeColor="text1"/>
          <w:sz w:val="28"/>
          <w:szCs w:val="28"/>
          <w:lang w:val="en-US"/>
          <w14:textFill>
            <w14:solidFill>
              <w14:schemeClr w14:val="tx1"/>
            </w14:solidFill>
          </w14:textFill>
        </w:rPr>
      </w:pPr>
      <w:r>
        <w:rPr>
          <w:color w:val="000000" w:themeColor="text1"/>
          <w:sz w:val="28"/>
          <w:szCs w:val="28"/>
          <w:lang w:val="en-US"/>
          <w14:textFill>
            <w14:solidFill>
              <w14:schemeClr w14:val="tx1"/>
            </w14:solidFill>
          </w14:textFill>
        </w:rPr>
        <w:t>18. C.A. Huang, J.H. Chang, C.Y. Chen, K.Y. Liao, J. Mayer, Microstructure and electrochemical corrosion behavior of Cr-Ni-Fe alloy deposits electroplated in the presence of trivalent Cr ions // Thin Solid Films 544 // 2013, pp. 69–73.</w:t>
      </w:r>
    </w:p>
    <w:p w14:paraId="4599B38E">
      <w:pPr>
        <w:spacing w:line="360" w:lineRule="auto"/>
        <w:jc w:val="both"/>
        <w:rPr>
          <w:color w:val="000000" w:themeColor="text1"/>
          <w:sz w:val="28"/>
          <w:szCs w:val="28"/>
          <w:lang w:val="en-US"/>
          <w14:textFill>
            <w14:solidFill>
              <w14:schemeClr w14:val="tx1"/>
            </w14:solidFill>
          </w14:textFill>
        </w:rPr>
      </w:pPr>
      <w:r>
        <w:rPr>
          <w:color w:val="000000" w:themeColor="text1"/>
          <w:sz w:val="28"/>
          <w:szCs w:val="28"/>
          <w:lang w:val="en-US"/>
          <w14:textFill>
            <w14:solidFill>
              <w14:schemeClr w14:val="tx1"/>
            </w14:solidFill>
          </w14:textFill>
        </w:rPr>
        <w:t xml:space="preserve">19. Walsh FC, Herron ME. Electrocrystallization and electrochemical control of crystal growth: fundamental considerations and electrodeposition of metals. // J Phys D Appl Phys // 1991, pp. 24-217. </w:t>
      </w:r>
    </w:p>
    <w:p w14:paraId="49155B18">
      <w:pPr>
        <w:spacing w:line="360" w:lineRule="auto"/>
        <w:jc w:val="both"/>
        <w:rPr>
          <w:color w:val="000000" w:themeColor="text1"/>
          <w:sz w:val="28"/>
          <w:szCs w:val="28"/>
          <w:lang w:val="en-US"/>
          <w14:textFill>
            <w14:solidFill>
              <w14:schemeClr w14:val="tx1"/>
            </w14:solidFill>
          </w14:textFill>
        </w:rPr>
      </w:pPr>
      <w:r>
        <w:rPr>
          <w:color w:val="000000" w:themeColor="text1"/>
          <w:sz w:val="28"/>
          <w:szCs w:val="28"/>
          <w:lang w:val="en-US"/>
          <w14:textFill>
            <w14:solidFill>
              <w14:schemeClr w14:val="tx1"/>
            </w14:solidFill>
          </w14:textFill>
        </w:rPr>
        <w:t>20. Hu C-C, Bai A. The inhibition of anomalous codeposition of iron-group alloys using cyclic voltammetry // J Electrochem Soc 149 // 2002, pp. 615-622.</w:t>
      </w:r>
    </w:p>
    <w:p w14:paraId="3031E746">
      <w:pPr>
        <w:spacing w:line="360" w:lineRule="auto"/>
        <w:jc w:val="both"/>
        <w:rPr>
          <w:color w:val="000000" w:themeColor="text1"/>
          <w:sz w:val="28"/>
          <w:szCs w:val="28"/>
          <w:lang w:val="en-US"/>
          <w14:textFill>
            <w14:solidFill>
              <w14:schemeClr w14:val="tx1"/>
            </w14:solidFill>
          </w14:textFill>
        </w:rPr>
      </w:pPr>
      <w:r>
        <w:rPr>
          <w:color w:val="000000" w:themeColor="text1"/>
          <w:sz w:val="28"/>
          <w:szCs w:val="28"/>
          <w:lang w:val="en-US"/>
          <w14:textFill>
            <w14:solidFill>
              <w14:schemeClr w14:val="tx1"/>
            </w14:solidFill>
          </w14:textFill>
        </w:rPr>
        <w:t xml:space="preserve">21. Adelkhani H, Arshadi MR. Properties of Fe-Ni-Cr alloy coatings by using direct and pulse current electrodeposition // J Alloy Comp 476 // 2008, pp. 234-237. </w:t>
      </w:r>
    </w:p>
    <w:p w14:paraId="69F0AFBE">
      <w:pPr>
        <w:spacing w:line="360" w:lineRule="auto"/>
        <w:jc w:val="both"/>
        <w:rPr>
          <w:color w:val="000000" w:themeColor="text1"/>
          <w:sz w:val="28"/>
          <w:szCs w:val="28"/>
          <w:lang w:val="en-US"/>
          <w14:textFill>
            <w14:solidFill>
              <w14:schemeClr w14:val="tx1"/>
            </w14:solidFill>
          </w14:textFill>
        </w:rPr>
      </w:pPr>
      <w:r>
        <w:rPr>
          <w:color w:val="000000" w:themeColor="text1"/>
          <w:sz w:val="28"/>
          <w:szCs w:val="28"/>
          <w:lang w:val="en-US"/>
          <w14:textFill>
            <w14:solidFill>
              <w14:schemeClr w14:val="tx1"/>
            </w14:solidFill>
          </w14:textFill>
        </w:rPr>
        <w:t xml:space="preserve">22. H. Zhang, L. Liu, J. Bai, X. Liu, Corrosion behavior and microstructure of electrodeposited nano-layered Ni-Cr coatings // Thin Solid Films 595 // 2015, pp. 36-40. </w:t>
      </w:r>
    </w:p>
    <w:p w14:paraId="7E194CF1">
      <w:pPr>
        <w:spacing w:line="360" w:lineRule="auto"/>
        <w:jc w:val="both"/>
        <w:rPr>
          <w:color w:val="000000" w:themeColor="text1"/>
          <w:sz w:val="28"/>
          <w:szCs w:val="28"/>
          <w:lang w:val="en-US"/>
          <w14:textFill>
            <w14:solidFill>
              <w14:schemeClr w14:val="tx1"/>
            </w14:solidFill>
          </w14:textFill>
        </w:rPr>
      </w:pPr>
      <w:r>
        <w:rPr>
          <w:color w:val="000000" w:themeColor="text1"/>
          <w:sz w:val="28"/>
          <w:szCs w:val="28"/>
          <w:lang w:val="en-US"/>
          <w14:textFill>
            <w14:solidFill>
              <w14:schemeClr w14:val="tx1"/>
            </w14:solidFill>
          </w14:textFill>
        </w:rPr>
        <w:t xml:space="preserve"> 23. C.A. Huang, C.K. Lin, C.Y. Chen, Hardness variation and corrosion behavior of as-plated and annealed Cr-Ni alloy deposits electroplated in a trivalent chromium-based bath,  // Surf. Coating. Technol. 203 // 2009, pp. 3686-3691. </w:t>
      </w:r>
    </w:p>
    <w:p w14:paraId="75ACC660">
      <w:pPr>
        <w:spacing w:line="360" w:lineRule="auto"/>
        <w:jc w:val="both"/>
        <w:rPr>
          <w:color w:val="000000" w:themeColor="text1"/>
          <w:sz w:val="28"/>
          <w:szCs w:val="28"/>
          <w:lang w:val="en-US"/>
          <w14:textFill>
            <w14:solidFill>
              <w14:schemeClr w14:val="tx1"/>
            </w14:solidFill>
          </w14:textFill>
        </w:rPr>
      </w:pPr>
      <w:r>
        <w:rPr>
          <w:color w:val="000000" w:themeColor="text1"/>
          <w:sz w:val="28"/>
          <w:szCs w:val="28"/>
          <w:lang w:val="en-US"/>
          <w14:textFill>
            <w14:solidFill>
              <w14:schemeClr w14:val="tx1"/>
            </w14:solidFill>
          </w14:textFill>
        </w:rPr>
        <w:t xml:space="preserve">24. C.A. Huang, C.Y. Chen, C.C. Chen, T. Kelly, H.M. Lin, Microstructure analysis of a Cr-Ni multilayer pulse-electroplated in a bath containing trivalent chromium and divalent nickel ions // Surf. Coating. Technol. 255 // 2014, pp. 153-157. </w:t>
      </w:r>
    </w:p>
    <w:p w14:paraId="5145F4C7">
      <w:pPr>
        <w:spacing w:line="360" w:lineRule="auto"/>
        <w:jc w:val="both"/>
        <w:rPr>
          <w:lang w:val="en-US"/>
        </w:rPr>
      </w:pPr>
      <w:r>
        <w:rPr>
          <w:color w:val="000000" w:themeColor="text1"/>
          <w:sz w:val="28"/>
          <w:szCs w:val="28"/>
          <w:lang w:val="en-US"/>
          <w14:textFill>
            <w14:solidFill>
              <w14:schemeClr w14:val="tx1"/>
            </w14:solidFill>
          </w14:textFill>
        </w:rPr>
        <w:t xml:space="preserve">25. C.A.C. Souza, J.E. May, A.T. Machado, A.L.R. Tachard, E.D. Bidoia, Preparation of Fe-Cr-P-Co amorphous alloys by electrodeposition // Surf. Coating. Technol. 190 // 2005, pp. 75-82. </w:t>
      </w:r>
    </w:p>
    <w:p w14:paraId="58C63C4D">
      <w:pPr>
        <w:spacing w:line="360" w:lineRule="auto"/>
        <w:jc w:val="both"/>
        <w:rPr>
          <w:color w:val="000000" w:themeColor="text1"/>
          <w:sz w:val="28"/>
          <w:szCs w:val="28"/>
          <w:lang w:val="en-US"/>
          <w14:textFill>
            <w14:solidFill>
              <w14:schemeClr w14:val="tx1"/>
            </w14:solidFill>
          </w14:textFill>
        </w:rPr>
      </w:pPr>
      <w:r>
        <w:rPr>
          <w:color w:val="000000" w:themeColor="text1"/>
          <w:sz w:val="28"/>
          <w:szCs w:val="28"/>
          <w:lang w:val="en-US"/>
          <w14:textFill>
            <w14:solidFill>
              <w14:schemeClr w14:val="tx1"/>
            </w14:solidFill>
          </w14:textFill>
        </w:rPr>
        <w:t xml:space="preserve">26. V.S. Protsenko, F.I. Danilov, V.O. Gordiienko, A.S. Baskevich, V.V. Artemchuk, Improving hardness and tribological characteristics of nanocrystalline Cr-C films obtained from Cr(III) plating bath using pulsed electrodeposition // Int. J. Refract. Metals Hard Mater. 31 // 2012, pp. 281-283. </w:t>
      </w:r>
    </w:p>
    <w:p w14:paraId="547D0941">
      <w:pPr>
        <w:spacing w:line="360" w:lineRule="auto"/>
        <w:jc w:val="both"/>
        <w:rPr>
          <w:color w:val="000000" w:themeColor="text1"/>
          <w:sz w:val="28"/>
          <w:szCs w:val="28"/>
          <w:lang w:val="en-US"/>
          <w14:textFill>
            <w14:solidFill>
              <w14:schemeClr w14:val="tx1"/>
            </w14:solidFill>
          </w14:textFill>
        </w:rPr>
      </w:pPr>
      <w:r>
        <w:rPr>
          <w:color w:val="000000" w:themeColor="text1"/>
          <w:sz w:val="28"/>
          <w:szCs w:val="28"/>
          <w:lang w:val="en-US"/>
          <w14:textFill>
            <w14:solidFill>
              <w14:schemeClr w14:val="tx1"/>
            </w14:solidFill>
          </w14:textFill>
        </w:rPr>
        <w:t xml:space="preserve">27. B. Li, A. Lin, X. Wu, Y. Zhang, F. Gan, Electrodeposition and characterization of Fe-Cr-P amorphous alloys from trivalent chromium sulfate electrolyte, // J. Alloys Compd. 453 // 2008, pp. 93-101. </w:t>
      </w:r>
    </w:p>
    <w:p w14:paraId="558BC8C1">
      <w:pPr>
        <w:spacing w:line="360" w:lineRule="auto"/>
        <w:jc w:val="both"/>
        <w:rPr>
          <w:color w:val="000000" w:themeColor="text1"/>
          <w:sz w:val="28"/>
          <w:szCs w:val="28"/>
          <w:lang w:val="en-US"/>
          <w14:textFill>
            <w14:solidFill>
              <w14:schemeClr w14:val="tx1"/>
            </w14:solidFill>
          </w14:textFill>
        </w:rPr>
      </w:pPr>
      <w:r>
        <w:rPr>
          <w:color w:val="000000" w:themeColor="text1"/>
          <w:sz w:val="28"/>
          <w:szCs w:val="28"/>
          <w:lang w:val="en-US"/>
          <w14:textFill>
            <w14:solidFill>
              <w14:schemeClr w14:val="tx1"/>
            </w14:solidFill>
          </w14:textFill>
        </w:rPr>
        <w:t xml:space="preserve">28. H. Firouzi-Nerbin, F. Nasirpouri, E. Moslehifard, Pulse electrodeposition and corrosion properties of nanocrystalline nickel-chromium alloy coatings on copper substrate // J. Alloys Compd. 822 // 2020, pp. 1-12. </w:t>
      </w:r>
    </w:p>
    <w:p w14:paraId="2B38F53C">
      <w:pPr>
        <w:spacing w:line="360" w:lineRule="auto"/>
        <w:jc w:val="both"/>
        <w:rPr>
          <w:color w:val="000000" w:themeColor="text1"/>
          <w:sz w:val="28"/>
          <w:szCs w:val="28"/>
          <w:lang w:val="en-US"/>
          <w14:textFill>
            <w14:solidFill>
              <w14:schemeClr w14:val="tx1"/>
            </w14:solidFill>
          </w14:textFill>
        </w:rPr>
      </w:pPr>
      <w:r>
        <w:rPr>
          <w:color w:val="000000" w:themeColor="text1"/>
          <w:sz w:val="28"/>
          <w:szCs w:val="28"/>
          <w:lang w:val="en-US"/>
          <w14:textFill>
            <w14:solidFill>
              <w14:schemeClr w14:val="tx1"/>
            </w14:solidFill>
          </w14:textFill>
        </w:rPr>
        <w:t xml:space="preserve">29. S. Jeyaraj, K.P. Arulshri, S. Ramesh, G. Muthukumaran, Experimental investigations and effects studies on electrodeposited Ni-Cr composite coating using robust design approach  // Mater. Today Proc. 5 // 2018, pp. 6999-7008. </w:t>
      </w:r>
    </w:p>
    <w:p w14:paraId="3CD8055F">
      <w:pPr>
        <w:spacing w:line="360" w:lineRule="auto"/>
        <w:jc w:val="both"/>
        <w:rPr>
          <w:color w:val="000000" w:themeColor="text1"/>
          <w:sz w:val="28"/>
          <w:szCs w:val="28"/>
          <w:lang w:val="en-US"/>
          <w14:textFill>
            <w14:solidFill>
              <w14:schemeClr w14:val="tx1"/>
            </w14:solidFill>
          </w14:textFill>
        </w:rPr>
      </w:pPr>
      <w:r>
        <w:rPr>
          <w:color w:val="000000" w:themeColor="text1"/>
          <w:sz w:val="28"/>
          <w:szCs w:val="28"/>
          <w:lang w:val="en-US"/>
          <w14:textFill>
            <w14:solidFill>
              <w14:schemeClr w14:val="tx1"/>
            </w14:solidFill>
          </w14:textFill>
        </w:rPr>
        <w:t xml:space="preserve">30. A. Kunyarong, K. Fakpan, ScienceDirect Cr e Ni alloy coating electrodeposited on T22 steel // Mater. Today Proc. 5 // 2018, pp. 9244-9249. </w:t>
      </w:r>
    </w:p>
    <w:p w14:paraId="3A70FC67">
      <w:pPr>
        <w:spacing w:line="360" w:lineRule="auto"/>
        <w:jc w:val="both"/>
        <w:rPr>
          <w:color w:val="000000" w:themeColor="text1"/>
          <w:sz w:val="28"/>
          <w:szCs w:val="28"/>
          <w:lang w:val="en-US"/>
          <w14:textFill>
            <w14:solidFill>
              <w14:schemeClr w14:val="tx1"/>
            </w14:solidFill>
          </w14:textFill>
        </w:rPr>
      </w:pPr>
      <w:r>
        <w:rPr>
          <w:color w:val="000000" w:themeColor="text1"/>
          <w:sz w:val="28"/>
          <w:szCs w:val="28"/>
          <w:lang w:val="en-US"/>
          <w14:textFill>
            <w14:solidFill>
              <w14:schemeClr w14:val="tx1"/>
            </w14:solidFill>
          </w14:textFill>
        </w:rPr>
        <w:t>31. M.R. Etminanfar, M. Heydarzadeh Sohi, Corrosion resistance of multilayer coatings of nanolayered Cr/Ni electrodeposited from Cr(III)-Ni(II) bath // Thin Solid Films 520 // 2012, pp. 5322-5327.</w:t>
      </w:r>
    </w:p>
    <w:p w14:paraId="10508B03">
      <w:pPr>
        <w:spacing w:line="360" w:lineRule="auto"/>
        <w:jc w:val="both"/>
        <w:rPr>
          <w:color w:val="000000" w:themeColor="text1"/>
          <w:sz w:val="28"/>
          <w:szCs w:val="28"/>
          <w14:textFill>
            <w14:solidFill>
              <w14:schemeClr w14:val="tx1"/>
            </w14:solidFill>
          </w14:textFill>
        </w:rPr>
      </w:pPr>
      <w:r>
        <w:rPr>
          <w:color w:val="000000" w:themeColor="text1"/>
          <w:sz w:val="28"/>
          <w:szCs w:val="28"/>
          <w:lang w:val="en-US"/>
          <w14:textFill>
            <w14:solidFill>
              <w14:schemeClr w14:val="tx1"/>
            </w14:solidFill>
          </w14:textFill>
        </w:rPr>
        <w:t xml:space="preserve"> 32. X. Peng, Y. Zhou, F.H. Wang, Y. Zhang, On the development and the oxidation of novel Ni-Cr and Ni-Al nanocoatings by composite electrodeposition // Mater. Sci</w:t>
      </w:r>
      <w:r>
        <w:rPr>
          <w:color w:val="000000" w:themeColor="text1"/>
          <w:sz w:val="28"/>
          <w:szCs w:val="28"/>
          <w14:textFill>
            <w14:solidFill>
              <w14:schemeClr w14:val="tx1"/>
            </w14:solidFill>
          </w14:textFill>
        </w:rPr>
        <w:t xml:space="preserve">. </w:t>
      </w:r>
      <w:r>
        <w:rPr>
          <w:color w:val="000000" w:themeColor="text1"/>
          <w:sz w:val="28"/>
          <w:szCs w:val="28"/>
          <w:lang w:val="en-US"/>
          <w14:textFill>
            <w14:solidFill>
              <w14:schemeClr w14:val="tx1"/>
            </w14:solidFill>
          </w14:textFill>
        </w:rPr>
        <w:t>Forum</w:t>
      </w:r>
      <w:r>
        <w:rPr>
          <w:color w:val="000000" w:themeColor="text1"/>
          <w:sz w:val="28"/>
          <w:szCs w:val="28"/>
          <w14:textFill>
            <w14:solidFill>
              <w14:schemeClr w14:val="tx1"/>
            </w14:solidFill>
          </w14:textFill>
        </w:rPr>
        <w:t xml:space="preserve"> // 2014, </w:t>
      </w:r>
      <w:r>
        <w:rPr>
          <w:color w:val="000000" w:themeColor="text1"/>
          <w:sz w:val="28"/>
          <w:szCs w:val="28"/>
          <w:lang w:val="en-US"/>
          <w14:textFill>
            <w14:solidFill>
              <w14:schemeClr w14:val="tx1"/>
            </w14:solidFill>
          </w14:textFill>
        </w:rPr>
        <w:t>pp</w:t>
      </w:r>
      <w:r>
        <w:rPr>
          <w:color w:val="000000" w:themeColor="text1"/>
          <w:sz w:val="28"/>
          <w:szCs w:val="28"/>
          <w14:textFill>
            <w14:solidFill>
              <w14:schemeClr w14:val="tx1"/>
            </w14:solidFill>
          </w14:textFill>
        </w:rPr>
        <w:t>. 461-464.</w:t>
      </w:r>
    </w:p>
    <w:p w14:paraId="14FB19CB">
      <w:pPr>
        <w:spacing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33. К.Б.Калмыков, Н.Е.Дмитриева// Сканирующая электронная микроскопия и рентгено-спекттральный анализ неорганических материалов // Методическое пособие для студентов химического факультета МГУ имени М.В.Ломоносова (на примере сканирующего электронного микроскопа LEO EVO 50 XVP) // 2017, 51 </w:t>
      </w:r>
      <w:r>
        <w:rPr>
          <w:color w:val="000000" w:themeColor="text1"/>
          <w:sz w:val="28"/>
          <w:szCs w:val="28"/>
          <w:lang w:val="en-US"/>
          <w14:textFill>
            <w14:solidFill>
              <w14:schemeClr w14:val="tx1"/>
            </w14:solidFill>
          </w14:textFill>
        </w:rPr>
        <w:t>c</w:t>
      </w:r>
      <w:r>
        <w:rPr>
          <w:color w:val="000000" w:themeColor="text1"/>
          <w:sz w:val="28"/>
          <w:szCs w:val="28"/>
          <w14:textFill>
            <w14:solidFill>
              <w14:schemeClr w14:val="tx1"/>
            </w14:solidFill>
          </w14:textFill>
        </w:rPr>
        <w:t>.</w:t>
      </w:r>
    </w:p>
    <w:p w14:paraId="3145ECEF">
      <w:pPr>
        <w:spacing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34. В.Скотта, Г.Лава // Количественный электронно-зондовый микроанализ: Пер. с англ. // М.: Мир // 1986, 352 </w:t>
      </w:r>
      <w:r>
        <w:rPr>
          <w:color w:val="000000" w:themeColor="text1"/>
          <w:sz w:val="28"/>
          <w:szCs w:val="28"/>
          <w:lang w:val="en-US"/>
          <w14:textFill>
            <w14:solidFill>
              <w14:schemeClr w14:val="tx1"/>
            </w14:solidFill>
          </w14:textFill>
        </w:rPr>
        <w:t>c</w:t>
      </w:r>
      <w:r>
        <w:rPr>
          <w:color w:val="000000" w:themeColor="text1"/>
          <w:sz w:val="28"/>
          <w:szCs w:val="28"/>
          <w14:textFill>
            <w14:solidFill>
              <w14:schemeClr w14:val="tx1"/>
            </w14:solidFill>
          </w14:textFill>
        </w:rPr>
        <w:t>.</w:t>
      </w:r>
    </w:p>
    <w:p w14:paraId="03898E19">
      <w:pPr>
        <w:spacing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35. Р. Кастен, Ж. Энок // Распределение по глубине характеристического рентгеновского излучения // М.: Наука, 1973, 91 </w:t>
      </w:r>
      <w:r>
        <w:rPr>
          <w:color w:val="000000" w:themeColor="text1"/>
          <w:sz w:val="28"/>
          <w:szCs w:val="28"/>
          <w:lang w:val="en-US"/>
          <w14:textFill>
            <w14:solidFill>
              <w14:schemeClr w14:val="tx1"/>
            </w14:solidFill>
          </w14:textFill>
        </w:rPr>
        <w:t>c</w:t>
      </w:r>
      <w:r>
        <w:rPr>
          <w:color w:val="000000" w:themeColor="text1"/>
          <w:sz w:val="28"/>
          <w:szCs w:val="28"/>
          <w14:textFill>
            <w14:solidFill>
              <w14:schemeClr w14:val="tx1"/>
            </w14:solidFill>
          </w14:textFill>
        </w:rPr>
        <w:t>.</w:t>
      </w:r>
    </w:p>
    <w:p w14:paraId="410EF893">
      <w:pPr>
        <w:spacing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36. В.В. Козлов // Системы рентгеноспектрального микроанализа Inca Energy и Inca Wave // Представительство Oxford Instruments OM, 2008, 76 с.</w:t>
      </w:r>
    </w:p>
    <w:p w14:paraId="4185BB27">
      <w:pPr>
        <w:spacing w:line="360" w:lineRule="auto"/>
        <w:jc w:val="both"/>
        <w:rPr>
          <w:color w:val="000000" w:themeColor="text1"/>
          <w:sz w:val="28"/>
          <w:szCs w:val="28"/>
          <w:lang w:val="en-US"/>
          <w14:textFill>
            <w14:solidFill>
              <w14:schemeClr w14:val="tx1"/>
            </w14:solidFill>
          </w14:textFill>
        </w:rPr>
      </w:pPr>
      <w:r>
        <w:rPr>
          <w:color w:val="000000" w:themeColor="text1"/>
          <w:sz w:val="28"/>
          <w:szCs w:val="28"/>
          <w:lang w:val="en-US"/>
          <w14:textFill>
            <w14:solidFill>
              <w14:schemeClr w14:val="tx1"/>
            </w14:solidFill>
          </w14:textFill>
        </w:rPr>
        <w:t>37. Zhina Razaghi, Milad Rezaei // Corrosion mechanism of sulfate, chloride, and tetrafluoroborate ions interacted with Ni-19 wt% Cr coating: A combined experimental study and molecular dynamics simulation // Journal of Molecular Liquids // 2020, pp. 1-14.</w:t>
      </w:r>
    </w:p>
    <w:p w14:paraId="1B827466">
      <w:pPr>
        <w:spacing w:line="360" w:lineRule="auto"/>
        <w:jc w:val="both"/>
        <w:rPr>
          <w:rStyle w:val="8"/>
          <w:color w:val="000000" w:themeColor="text1"/>
          <w:sz w:val="28"/>
          <w:szCs w:val="28"/>
          <w14:textFill>
            <w14:solidFill>
              <w14:schemeClr w14:val="tx1"/>
            </w14:solidFill>
          </w14:textFill>
        </w:rPr>
      </w:pPr>
    </w:p>
    <w:p w14:paraId="1454E799">
      <w:pPr>
        <w:rPr>
          <w:rStyle w:val="8"/>
        </w:rPr>
      </w:pPr>
      <w:r>
        <w:br w:type="page"/>
      </w:r>
    </w:p>
    <w:p w14:paraId="38768F92">
      <w:pPr>
        <w:rPr>
          <w:rStyle w:val="8"/>
        </w:rPr>
      </w:pPr>
    </w:p>
    <w:p w14:paraId="66A694D7">
      <w:pPr>
        <w:rPr>
          <w:rStyle w:val="8"/>
        </w:rPr>
      </w:pPr>
    </w:p>
    <w:sectPr>
      <w:footerReference r:id="rId3" w:type="default"/>
      <w:pgSz w:w="11906" w:h="16838"/>
      <w:pgMar w:top="720" w:right="720" w:bottom="765" w:left="720" w:header="0" w:footer="708" w:gutter="0"/>
      <w:cols w:space="720" w:num="1"/>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黑体">
    <w:altName w:val="SimSun"/>
    <w:panose1 w:val="00000000000000000000"/>
    <w:charset w:val="00"/>
    <w:family w:val="auto"/>
    <w:pitch w:val="default"/>
    <w:sig w:usb0="00000000" w:usb1="00000000" w:usb2="00000000" w:usb3="00000000" w:csb0="00000000"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CC"/>
    <w:family w:val="swiss"/>
    <w:pitch w:val="default"/>
    <w:sig w:usb0="E1002EFF" w:usb1="C000605B" w:usb2="00000029" w:usb3="00000000" w:csb0="200101FF" w:csb1="20280000"/>
  </w:font>
  <w:font w:name="Liberation Sans">
    <w:altName w:val="Arial"/>
    <w:panose1 w:val="00000000000000000000"/>
    <w:charset w:val="CC"/>
    <w:family w:val="swiss"/>
    <w:pitch w:val="default"/>
    <w:sig w:usb0="00000000" w:usb1="00000000" w:usb2="00000000" w:usb3="00000000" w:csb0="00000000" w:csb1="00000000"/>
  </w:font>
  <w:font w:name="Microsoft YaHei">
    <w:panose1 w:val="020B0503020204020204"/>
    <w:charset w:val="86"/>
    <w:family w:val="swiss"/>
    <w:pitch w:val="default"/>
    <w:sig w:usb0="80000287" w:usb1="2ACF3C50" w:usb2="00000016" w:usb3="00000000" w:csb0="0004001F" w:csb1="00000000"/>
  </w:font>
  <w:font w:name="Arial">
    <w:panose1 w:val="020B0604020202020204"/>
    <w:charset w:val="CC"/>
    <w:family w:val="swiss"/>
    <w:pitch w:val="default"/>
    <w:sig w:usb0="E0002EFF" w:usb1="C000785B" w:usb2="00000009" w:usb3="00000000" w:csb0="400001FF" w:csb1="FFFF0000"/>
  </w:font>
  <w:font w:name="Cambria">
    <w:panose1 w:val="02040503050406030204"/>
    <w:charset w:val="CC"/>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 w:name="Cambria Math">
    <w:panose1 w:val="02040503050406030204"/>
    <w:charset w:val="CC"/>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8079975"/>
      <w:docPartObj>
        <w:docPartGallery w:val="AutoText"/>
      </w:docPartObj>
    </w:sdtPr>
    <w:sdtContent>
      <w:p w14:paraId="4C1E9B3F">
        <w:pPr>
          <w:pStyle w:val="18"/>
          <w:jc w:val="center"/>
          <w:rPr>
            <w:rFonts w:ascii="Times New Roman" w:hAnsi="Times New Roman" w:cs="Times New Roman"/>
            <w:sz w:val="24"/>
            <w:szCs w:val="24"/>
          </w:rPr>
        </w:pPr>
        <w:r>
          <w:fldChar w:fldCharType="begin"/>
        </w:r>
        <w:r>
          <w:instrText xml:space="preserve"> PAGE </w:instrText>
        </w:r>
        <w:r>
          <w:fldChar w:fldCharType="separate"/>
        </w:r>
        <w:r>
          <w:t>23</w:t>
        </w:r>
        <w:r>
          <w:fldChar w:fldCharType="end"/>
        </w:r>
      </w:p>
    </w:sdtContent>
  </w:sdt>
  <w:p w14:paraId="3F4B5DD1">
    <w:pPr>
      <w:pStyle w:val="1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551095"/>
    <w:multiLevelType w:val="multilevel"/>
    <w:tmpl w:val="0E551095"/>
    <w:lvl w:ilvl="0" w:tentative="0">
      <w:start w:val="3"/>
      <w:numFmt w:val="decimal"/>
      <w:lvlText w:val="%1."/>
      <w:lvlJc w:val="left"/>
      <w:pPr>
        <w:tabs>
          <w:tab w:val="left" w:pos="0"/>
        </w:tabs>
        <w:ind w:left="720" w:hanging="360"/>
      </w:p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1">
    <w:nsid w:val="235936C2"/>
    <w:multiLevelType w:val="multilevel"/>
    <w:tmpl w:val="235936C2"/>
    <w:lvl w:ilvl="0" w:tentative="0">
      <w:start w:val="1"/>
      <w:numFmt w:val="decimal"/>
      <w:lvlText w:val="%1."/>
      <w:lvlJc w:val="left"/>
      <w:pPr>
        <w:tabs>
          <w:tab w:val="left" w:pos="0"/>
        </w:tabs>
        <w:ind w:left="720" w:hanging="360"/>
      </w:p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8F9"/>
    <w:rsid w:val="000617A5"/>
    <w:rsid w:val="000918F3"/>
    <w:rsid w:val="000A713B"/>
    <w:rsid w:val="000B3339"/>
    <w:rsid w:val="000C0D40"/>
    <w:rsid w:val="000F5FDA"/>
    <w:rsid w:val="00135ACE"/>
    <w:rsid w:val="0014131C"/>
    <w:rsid w:val="001D4EA7"/>
    <w:rsid w:val="00232CB7"/>
    <w:rsid w:val="002538F9"/>
    <w:rsid w:val="002803D0"/>
    <w:rsid w:val="003340CD"/>
    <w:rsid w:val="00353B78"/>
    <w:rsid w:val="00367912"/>
    <w:rsid w:val="003A50A5"/>
    <w:rsid w:val="003D00EA"/>
    <w:rsid w:val="003D0CA3"/>
    <w:rsid w:val="003D1AE0"/>
    <w:rsid w:val="003D4542"/>
    <w:rsid w:val="003E59A0"/>
    <w:rsid w:val="00431076"/>
    <w:rsid w:val="00482531"/>
    <w:rsid w:val="004B156E"/>
    <w:rsid w:val="0050345B"/>
    <w:rsid w:val="005419D7"/>
    <w:rsid w:val="00551455"/>
    <w:rsid w:val="005B5C16"/>
    <w:rsid w:val="005D0B29"/>
    <w:rsid w:val="005E0694"/>
    <w:rsid w:val="00636321"/>
    <w:rsid w:val="00642061"/>
    <w:rsid w:val="006C66BD"/>
    <w:rsid w:val="006E0ED8"/>
    <w:rsid w:val="006F12E2"/>
    <w:rsid w:val="006F55DB"/>
    <w:rsid w:val="0071038B"/>
    <w:rsid w:val="00715159"/>
    <w:rsid w:val="00803FEB"/>
    <w:rsid w:val="00817B84"/>
    <w:rsid w:val="0084595A"/>
    <w:rsid w:val="0089289C"/>
    <w:rsid w:val="008B14A0"/>
    <w:rsid w:val="008E61C9"/>
    <w:rsid w:val="008F01FB"/>
    <w:rsid w:val="009172D5"/>
    <w:rsid w:val="0095443D"/>
    <w:rsid w:val="00982016"/>
    <w:rsid w:val="009915D5"/>
    <w:rsid w:val="00A3365D"/>
    <w:rsid w:val="00A41594"/>
    <w:rsid w:val="00A60DE6"/>
    <w:rsid w:val="00AF11F8"/>
    <w:rsid w:val="00AF33C9"/>
    <w:rsid w:val="00B00336"/>
    <w:rsid w:val="00B0300D"/>
    <w:rsid w:val="00B36DC9"/>
    <w:rsid w:val="00B449F4"/>
    <w:rsid w:val="00B4681E"/>
    <w:rsid w:val="00B607DC"/>
    <w:rsid w:val="00BA1036"/>
    <w:rsid w:val="00BC7173"/>
    <w:rsid w:val="00C26244"/>
    <w:rsid w:val="00C617BA"/>
    <w:rsid w:val="00C66709"/>
    <w:rsid w:val="00CC1791"/>
    <w:rsid w:val="00CC5897"/>
    <w:rsid w:val="00D102D1"/>
    <w:rsid w:val="00D23CD6"/>
    <w:rsid w:val="00D32F5D"/>
    <w:rsid w:val="00DB1B61"/>
    <w:rsid w:val="00DB565B"/>
    <w:rsid w:val="00E022DB"/>
    <w:rsid w:val="00E57D54"/>
    <w:rsid w:val="00E615BF"/>
    <w:rsid w:val="00E658AC"/>
    <w:rsid w:val="00E71813"/>
    <w:rsid w:val="00E763A2"/>
    <w:rsid w:val="00EC67F5"/>
    <w:rsid w:val="00ED5B5D"/>
    <w:rsid w:val="00EF37BC"/>
    <w:rsid w:val="00F0153C"/>
    <w:rsid w:val="00F30A54"/>
    <w:rsid w:val="00F30B5B"/>
    <w:rsid w:val="00F56A4A"/>
    <w:rsid w:val="00F632DA"/>
    <w:rsid w:val="00F81FE9"/>
    <w:rsid w:val="00FC6FC0"/>
    <w:rsid w:val="00FF6012"/>
    <w:rsid w:val="00FF6BF0"/>
    <w:rsid w:val="36595799"/>
  </w:rsids>
  <m:mathPr>
    <m:mathFont m:val="Cambria Math"/>
    <m:brkBin m:val="before"/>
    <m:brkBinSub m:val="--"/>
    <m:smallFrac m:val="0"/>
    <m:dispDef/>
    <m:lMargin m:val="0"/>
    <m:rMargin m:val="0"/>
    <m:defJc m:val="centerGroup"/>
    <m:wrapIndent m:val="1440"/>
    <m:intLim m:val="subSup"/>
    <m:naryLim m:val="undOvr"/>
  </m:mathPr>
  <w:themeFontLang w:val="ru-RU" w:eastAsia="zh-CN" w:bidi="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nhideWhenUsed="0" w:uiPriority="0" w:semiHidden="0"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uppressAutoHyphens w:val="0"/>
    </w:pPr>
    <w:rPr>
      <w:rFonts w:ascii="Times New Roman" w:hAnsi="Times New Roman" w:eastAsia="Times New Roman" w:cs="Times New Roman"/>
      <w:sz w:val="24"/>
      <w:szCs w:val="24"/>
      <w:lang w:val="ru-RU" w:eastAsia="ru-RU" w:bidi="ar-SA"/>
    </w:rPr>
  </w:style>
  <w:style w:type="paragraph" w:styleId="2">
    <w:name w:val="heading 1"/>
    <w:basedOn w:val="1"/>
    <w:next w:val="1"/>
    <w:link w:val="25"/>
    <w:qFormat/>
    <w:uiPriority w:val="9"/>
    <w:pPr>
      <w:keepNext/>
      <w:keepLines/>
      <w:suppressAutoHyphens/>
      <w:spacing w:before="480" w:line="276" w:lineRule="auto"/>
      <w:outlineLvl w:val="0"/>
    </w:pPr>
    <w:rPr>
      <w:rFonts w:eastAsiaTheme="majorEastAsia" w:cstheme="majorBidi"/>
      <w:b/>
      <w:bCs/>
      <w:color w:val="000000" w:themeColor="text1"/>
      <w:sz w:val="28"/>
      <w:szCs w:val="28"/>
      <w:lang w:eastAsia="en-US"/>
      <w14:textFill>
        <w14:solidFill>
          <w14:schemeClr w14:val="tx1"/>
        </w14:solidFill>
      </w14:textFill>
    </w:rPr>
  </w:style>
  <w:style w:type="paragraph" w:styleId="3">
    <w:name w:val="heading 2"/>
    <w:basedOn w:val="1"/>
    <w:next w:val="1"/>
    <w:link w:val="28"/>
    <w:unhideWhenUsed/>
    <w:qFormat/>
    <w:uiPriority w:val="9"/>
    <w:pPr>
      <w:keepNext/>
      <w:keepLines/>
      <w:suppressAutoHyphens/>
      <w:spacing w:before="200" w:line="276" w:lineRule="auto"/>
      <w:outlineLvl w:val="1"/>
    </w:pPr>
    <w:rPr>
      <w:rFonts w:eastAsiaTheme="majorEastAsia" w:cstheme="majorBidi"/>
      <w:b/>
      <w:bCs/>
      <w:color w:val="000000" w:themeColor="text1"/>
      <w:sz w:val="26"/>
      <w:szCs w:val="26"/>
      <w:lang w:eastAsia="en-US"/>
      <w14:textFill>
        <w14:solidFill>
          <w14:schemeClr w14:val="tx1"/>
        </w14:solidFill>
      </w14:textFill>
    </w:rPr>
  </w:style>
  <w:style w:type="paragraph" w:styleId="4">
    <w:name w:val="heading 3"/>
    <w:basedOn w:val="1"/>
    <w:next w:val="1"/>
    <w:link w:val="31"/>
    <w:unhideWhenUsed/>
    <w:qFormat/>
    <w:uiPriority w:val="9"/>
    <w:pPr>
      <w:keepNext/>
      <w:keepLines/>
      <w:suppressAutoHyphens/>
      <w:spacing w:before="200" w:line="276" w:lineRule="auto"/>
      <w:outlineLvl w:val="2"/>
    </w:pPr>
    <w:rPr>
      <w:rFonts w:eastAsiaTheme="majorEastAsia" w:cstheme="majorBidi"/>
      <w:bCs/>
      <w:i/>
      <w:color w:val="000000" w:themeColor="text1"/>
      <w:szCs w:val="22"/>
      <w:lang w:eastAsia="en-US"/>
      <w14:textFill>
        <w14:solidFill>
          <w14:schemeClr w14:val="tx1"/>
        </w14:solidFill>
      </w14:textFill>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character" w:styleId="7">
    <w:name w:val="Hyperlink"/>
    <w:basedOn w:val="5"/>
    <w:unhideWhenUsed/>
    <w:uiPriority w:val="99"/>
    <w:rPr>
      <w:color w:val="0000FF" w:themeColor="hyperlink"/>
      <w:u w:val="single"/>
      <w14:textFill>
        <w14:solidFill>
          <w14:schemeClr w14:val="hlink"/>
        </w14:solidFill>
      </w14:textFill>
    </w:rPr>
  </w:style>
  <w:style w:type="character" w:styleId="8">
    <w:name w:val="Strong"/>
    <w:basedOn w:val="5"/>
    <w:qFormat/>
    <w:uiPriority w:val="22"/>
    <w:rPr>
      <w:b/>
      <w:bCs/>
    </w:rPr>
  </w:style>
  <w:style w:type="paragraph" w:styleId="9">
    <w:name w:val="Balloon Text"/>
    <w:basedOn w:val="1"/>
    <w:link w:val="27"/>
    <w:semiHidden/>
    <w:unhideWhenUsed/>
    <w:qFormat/>
    <w:uiPriority w:val="99"/>
    <w:pPr>
      <w:suppressAutoHyphens/>
    </w:pPr>
    <w:rPr>
      <w:rFonts w:ascii="Tahoma" w:hAnsi="Tahoma" w:cs="Tahoma" w:eastAsiaTheme="minorHAnsi"/>
      <w:sz w:val="16"/>
      <w:szCs w:val="16"/>
      <w:lang w:eastAsia="en-US"/>
    </w:rPr>
  </w:style>
  <w:style w:type="paragraph" w:styleId="10">
    <w:name w:val="caption"/>
    <w:basedOn w:val="1"/>
    <w:qFormat/>
    <w:uiPriority w:val="35"/>
    <w:pPr>
      <w:suppressLineNumbers/>
      <w:suppressAutoHyphens/>
      <w:spacing w:before="120" w:after="120" w:line="276" w:lineRule="auto"/>
    </w:pPr>
    <w:rPr>
      <w:rFonts w:cs="Arial" w:asciiTheme="minorHAnsi" w:hAnsiTheme="minorHAnsi" w:eastAsiaTheme="minorHAnsi"/>
      <w:i/>
      <w:iCs/>
      <w:lang w:eastAsia="en-US"/>
    </w:rPr>
  </w:style>
  <w:style w:type="paragraph" w:styleId="11">
    <w:name w:val="header"/>
    <w:basedOn w:val="1"/>
    <w:link w:val="23"/>
    <w:unhideWhenUsed/>
    <w:uiPriority w:val="99"/>
    <w:pPr>
      <w:tabs>
        <w:tab w:val="center" w:pos="4677"/>
        <w:tab w:val="right" w:pos="9355"/>
      </w:tabs>
      <w:suppressAutoHyphens/>
    </w:pPr>
    <w:rPr>
      <w:rFonts w:asciiTheme="minorHAnsi" w:hAnsiTheme="minorHAnsi" w:eastAsiaTheme="minorHAnsi" w:cstheme="minorBidi"/>
      <w:sz w:val="22"/>
      <w:szCs w:val="22"/>
      <w:lang w:eastAsia="en-US"/>
    </w:rPr>
  </w:style>
  <w:style w:type="paragraph" w:styleId="12">
    <w:name w:val="Body Text"/>
    <w:basedOn w:val="1"/>
    <w:uiPriority w:val="0"/>
    <w:pPr>
      <w:suppressAutoHyphens/>
      <w:spacing w:after="140" w:line="276" w:lineRule="auto"/>
    </w:pPr>
    <w:rPr>
      <w:rFonts w:asciiTheme="minorHAnsi" w:hAnsiTheme="minorHAnsi" w:eastAsiaTheme="minorHAnsi" w:cstheme="minorBidi"/>
      <w:sz w:val="22"/>
      <w:szCs w:val="22"/>
      <w:lang w:eastAsia="en-US"/>
    </w:rPr>
  </w:style>
  <w:style w:type="paragraph" w:styleId="13">
    <w:name w:val="index heading"/>
    <w:basedOn w:val="14"/>
    <w:uiPriority w:val="0"/>
  </w:style>
  <w:style w:type="paragraph" w:customStyle="1" w:styleId="14">
    <w:name w:val="Заголовок"/>
    <w:basedOn w:val="1"/>
    <w:next w:val="12"/>
    <w:qFormat/>
    <w:uiPriority w:val="0"/>
    <w:pPr>
      <w:keepNext/>
      <w:suppressAutoHyphens/>
      <w:spacing w:before="240" w:after="120" w:line="276" w:lineRule="auto"/>
    </w:pPr>
    <w:rPr>
      <w:rFonts w:ascii="Liberation Sans" w:hAnsi="Liberation Sans" w:eastAsia="Microsoft YaHei" w:cs="Arial"/>
      <w:sz w:val="28"/>
      <w:szCs w:val="28"/>
      <w:lang w:eastAsia="en-US"/>
    </w:rPr>
  </w:style>
  <w:style w:type="paragraph" w:styleId="15">
    <w:name w:val="toc 1"/>
    <w:basedOn w:val="1"/>
    <w:next w:val="1"/>
    <w:autoRedefine/>
    <w:unhideWhenUsed/>
    <w:qFormat/>
    <w:uiPriority w:val="39"/>
    <w:pPr>
      <w:suppressAutoHyphens/>
      <w:spacing w:after="100" w:line="276" w:lineRule="auto"/>
    </w:pPr>
    <w:rPr>
      <w:rFonts w:asciiTheme="minorHAnsi" w:hAnsiTheme="minorHAnsi" w:eastAsiaTheme="minorHAnsi" w:cstheme="minorBidi"/>
      <w:sz w:val="22"/>
      <w:szCs w:val="22"/>
      <w:lang w:eastAsia="en-US"/>
    </w:rPr>
  </w:style>
  <w:style w:type="paragraph" w:styleId="16">
    <w:name w:val="toc 3"/>
    <w:basedOn w:val="1"/>
    <w:next w:val="1"/>
    <w:autoRedefine/>
    <w:unhideWhenUsed/>
    <w:qFormat/>
    <w:uiPriority w:val="39"/>
    <w:pPr>
      <w:suppressAutoHyphens/>
      <w:spacing w:after="100" w:line="276" w:lineRule="auto"/>
      <w:ind w:left="440"/>
    </w:pPr>
    <w:rPr>
      <w:rFonts w:asciiTheme="minorHAnsi" w:hAnsiTheme="minorHAnsi" w:eastAsiaTheme="minorEastAsia" w:cstheme="minorBidi"/>
      <w:sz w:val="22"/>
      <w:szCs w:val="22"/>
    </w:rPr>
  </w:style>
  <w:style w:type="paragraph" w:styleId="17">
    <w:name w:val="toc 2"/>
    <w:basedOn w:val="1"/>
    <w:next w:val="1"/>
    <w:autoRedefine/>
    <w:unhideWhenUsed/>
    <w:qFormat/>
    <w:uiPriority w:val="39"/>
    <w:pPr>
      <w:suppressAutoHyphens/>
      <w:spacing w:after="100" w:line="276" w:lineRule="auto"/>
      <w:ind w:left="220"/>
    </w:pPr>
    <w:rPr>
      <w:rFonts w:asciiTheme="minorHAnsi" w:hAnsiTheme="minorHAnsi" w:eastAsiaTheme="minorEastAsia" w:cstheme="minorBidi"/>
      <w:sz w:val="22"/>
      <w:szCs w:val="22"/>
    </w:rPr>
  </w:style>
  <w:style w:type="paragraph" w:styleId="18">
    <w:name w:val="footer"/>
    <w:basedOn w:val="1"/>
    <w:link w:val="24"/>
    <w:unhideWhenUsed/>
    <w:uiPriority w:val="99"/>
    <w:pPr>
      <w:tabs>
        <w:tab w:val="center" w:pos="4677"/>
        <w:tab w:val="right" w:pos="9355"/>
      </w:tabs>
      <w:suppressAutoHyphens/>
    </w:pPr>
    <w:rPr>
      <w:rFonts w:asciiTheme="minorHAnsi" w:hAnsiTheme="minorHAnsi" w:eastAsiaTheme="minorHAnsi" w:cstheme="minorBidi"/>
      <w:sz w:val="22"/>
      <w:szCs w:val="22"/>
      <w:lang w:eastAsia="en-US"/>
    </w:rPr>
  </w:style>
  <w:style w:type="paragraph" w:styleId="19">
    <w:name w:val="List"/>
    <w:basedOn w:val="12"/>
    <w:uiPriority w:val="0"/>
    <w:rPr>
      <w:rFonts w:cs="Arial"/>
    </w:rPr>
  </w:style>
  <w:style w:type="paragraph" w:styleId="20">
    <w:name w:val="Normal (Web)"/>
    <w:basedOn w:val="1"/>
    <w:semiHidden/>
    <w:unhideWhenUsed/>
    <w:qFormat/>
    <w:uiPriority w:val="99"/>
    <w:pPr>
      <w:suppressAutoHyphens/>
      <w:spacing w:beforeAutospacing="1" w:after="200" w:afterAutospacing="1"/>
    </w:pPr>
  </w:style>
  <w:style w:type="paragraph" w:styleId="21">
    <w:name w:val="Subtitle"/>
    <w:basedOn w:val="1"/>
    <w:next w:val="1"/>
    <w:link w:val="26"/>
    <w:qFormat/>
    <w:uiPriority w:val="11"/>
    <w:pPr>
      <w:suppressAutoHyphens/>
      <w:spacing w:after="200" w:line="276" w:lineRule="auto"/>
    </w:pPr>
    <w:rPr>
      <w:rFonts w:eastAsiaTheme="majorEastAsia" w:cstheme="majorBidi"/>
      <w:i/>
      <w:iCs/>
      <w:color w:val="4F81BD" w:themeColor="accent1"/>
      <w:spacing w:val="15"/>
      <w:lang w:eastAsia="en-US"/>
      <w14:textFill>
        <w14:solidFill>
          <w14:schemeClr w14:val="accent1"/>
        </w14:solidFill>
      </w14:textFill>
    </w:rPr>
  </w:style>
  <w:style w:type="table" w:styleId="22">
    <w:name w:val="Table Grid"/>
    <w:basedOn w:val="6"/>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3">
    <w:name w:val="Верхний колонтитул Знак"/>
    <w:basedOn w:val="5"/>
    <w:link w:val="11"/>
    <w:qFormat/>
    <w:uiPriority w:val="99"/>
  </w:style>
  <w:style w:type="character" w:customStyle="1" w:styleId="24">
    <w:name w:val="Нижний колонтитул Знак"/>
    <w:basedOn w:val="5"/>
    <w:link w:val="18"/>
    <w:qFormat/>
    <w:uiPriority w:val="99"/>
  </w:style>
  <w:style w:type="character" w:customStyle="1" w:styleId="25">
    <w:name w:val="Заголовок 1 Знак"/>
    <w:basedOn w:val="5"/>
    <w:link w:val="2"/>
    <w:qFormat/>
    <w:uiPriority w:val="9"/>
    <w:rPr>
      <w:rFonts w:ascii="Times New Roman" w:hAnsi="Times New Roman" w:eastAsiaTheme="majorEastAsia" w:cstheme="majorBidi"/>
      <w:b/>
      <w:bCs/>
      <w:color w:val="000000" w:themeColor="text1"/>
      <w:sz w:val="28"/>
      <w:szCs w:val="28"/>
      <w14:textFill>
        <w14:solidFill>
          <w14:schemeClr w14:val="tx1"/>
        </w14:solidFill>
      </w14:textFill>
    </w:rPr>
  </w:style>
  <w:style w:type="character" w:customStyle="1" w:styleId="26">
    <w:name w:val="Подзаголовок Знак"/>
    <w:basedOn w:val="5"/>
    <w:link w:val="21"/>
    <w:qFormat/>
    <w:uiPriority w:val="11"/>
    <w:rPr>
      <w:rFonts w:ascii="Times New Roman" w:hAnsi="Times New Roman" w:eastAsiaTheme="majorEastAsia" w:cstheme="majorBidi"/>
      <w:i/>
      <w:iCs/>
      <w:color w:val="4F81BD" w:themeColor="accent1"/>
      <w:spacing w:val="15"/>
      <w:sz w:val="24"/>
      <w:szCs w:val="24"/>
      <w14:textFill>
        <w14:solidFill>
          <w14:schemeClr w14:val="accent1"/>
        </w14:solidFill>
      </w14:textFill>
    </w:rPr>
  </w:style>
  <w:style w:type="character" w:customStyle="1" w:styleId="27">
    <w:name w:val="Текст выноски Знак"/>
    <w:basedOn w:val="5"/>
    <w:link w:val="9"/>
    <w:semiHidden/>
    <w:qFormat/>
    <w:uiPriority w:val="99"/>
    <w:rPr>
      <w:rFonts w:ascii="Tahoma" w:hAnsi="Tahoma" w:cs="Tahoma"/>
      <w:sz w:val="16"/>
      <w:szCs w:val="16"/>
    </w:rPr>
  </w:style>
  <w:style w:type="character" w:customStyle="1" w:styleId="28">
    <w:name w:val="Заголовок 2 Знак"/>
    <w:basedOn w:val="5"/>
    <w:link w:val="3"/>
    <w:qFormat/>
    <w:uiPriority w:val="9"/>
    <w:rPr>
      <w:rFonts w:ascii="Times New Roman" w:hAnsi="Times New Roman" w:eastAsiaTheme="majorEastAsia" w:cstheme="majorBidi"/>
      <w:b/>
      <w:bCs/>
      <w:color w:val="000000" w:themeColor="text1"/>
      <w:sz w:val="26"/>
      <w:szCs w:val="26"/>
      <w14:textFill>
        <w14:solidFill>
          <w14:schemeClr w14:val="tx1"/>
        </w14:solidFill>
      </w14:textFill>
    </w:rPr>
  </w:style>
  <w:style w:type="character" w:customStyle="1" w:styleId="29">
    <w:name w:val="label"/>
    <w:basedOn w:val="5"/>
    <w:qFormat/>
    <w:uiPriority w:val="0"/>
  </w:style>
  <w:style w:type="character" w:customStyle="1" w:styleId="30">
    <w:name w:val="path"/>
    <w:basedOn w:val="5"/>
    <w:qFormat/>
    <w:uiPriority w:val="0"/>
  </w:style>
  <w:style w:type="character" w:customStyle="1" w:styleId="31">
    <w:name w:val="Заголовок 3 Знак"/>
    <w:basedOn w:val="5"/>
    <w:link w:val="4"/>
    <w:qFormat/>
    <w:uiPriority w:val="9"/>
    <w:rPr>
      <w:rFonts w:ascii="Times New Roman" w:hAnsi="Times New Roman" w:eastAsiaTheme="majorEastAsia" w:cstheme="majorBidi"/>
      <w:bCs/>
      <w:i/>
      <w:color w:val="000000" w:themeColor="text1"/>
      <w:sz w:val="24"/>
      <w14:textFill>
        <w14:solidFill>
          <w14:schemeClr w14:val="tx1"/>
        </w14:solidFill>
      </w14:textFill>
    </w:rPr>
  </w:style>
  <w:style w:type="character" w:customStyle="1" w:styleId="32">
    <w:name w:val="Ссылка указателя"/>
    <w:qFormat/>
    <w:uiPriority w:val="0"/>
  </w:style>
  <w:style w:type="paragraph" w:customStyle="1" w:styleId="33">
    <w:name w:val="Колонтитул"/>
    <w:basedOn w:val="1"/>
    <w:qFormat/>
    <w:uiPriority w:val="0"/>
    <w:pPr>
      <w:suppressAutoHyphens/>
      <w:spacing w:after="200" w:line="276" w:lineRule="auto"/>
    </w:pPr>
    <w:rPr>
      <w:rFonts w:asciiTheme="minorHAnsi" w:hAnsiTheme="minorHAnsi" w:eastAsiaTheme="minorHAnsi" w:cstheme="minorBidi"/>
      <w:sz w:val="22"/>
      <w:szCs w:val="22"/>
      <w:lang w:eastAsia="en-US"/>
    </w:rPr>
  </w:style>
  <w:style w:type="paragraph" w:customStyle="1" w:styleId="34">
    <w:name w:val="TOC Heading"/>
    <w:basedOn w:val="2"/>
    <w:next w:val="1"/>
    <w:semiHidden/>
    <w:unhideWhenUsed/>
    <w:qFormat/>
    <w:uiPriority w:val="39"/>
    <w:pPr>
      <w:outlineLvl w:val="9"/>
    </w:pPr>
    <w:rPr>
      <w:rFonts w:asciiTheme="majorHAnsi" w:hAnsiTheme="majorHAnsi"/>
      <w:color w:val="376092" w:themeColor="accent1" w:themeShade="BF"/>
      <w:lang w:eastAsia="ru-RU"/>
    </w:rPr>
  </w:style>
  <w:style w:type="paragraph" w:customStyle="1" w:styleId="35">
    <w:name w:val="caption1"/>
    <w:basedOn w:val="1"/>
    <w:next w:val="1"/>
    <w:unhideWhenUsed/>
    <w:qFormat/>
    <w:uiPriority w:val="35"/>
    <w:pPr>
      <w:suppressAutoHyphens/>
      <w:spacing w:after="200"/>
    </w:pPr>
    <w:rPr>
      <w:rFonts w:asciiTheme="minorHAnsi" w:hAnsiTheme="minorHAnsi" w:eastAsiaTheme="minorHAnsi" w:cstheme="minorBidi"/>
      <w:b/>
      <w:bCs/>
      <w:color w:val="4F81BD" w:themeColor="accent1"/>
      <w:sz w:val="18"/>
      <w:szCs w:val="18"/>
      <w:lang w:eastAsia="en-US"/>
      <w14:textFill>
        <w14:solidFill>
          <w14:schemeClr w14:val="accent1"/>
        </w14:solidFill>
      </w14:textFill>
    </w:rPr>
  </w:style>
  <w:style w:type="paragraph" w:styleId="36">
    <w:name w:val="No Spacing"/>
    <w:qFormat/>
    <w:uiPriority w:val="1"/>
    <w:pPr>
      <w:suppressAutoHyphens/>
    </w:pPr>
    <w:rPr>
      <w:rFonts w:cs="Times New Roman" w:asciiTheme="minorHAnsi" w:hAnsiTheme="minorHAnsi" w:eastAsiaTheme="minorHAnsi"/>
      <w:sz w:val="22"/>
      <w:szCs w:val="22"/>
      <w:lang w:val="ru-RU" w:eastAsia="en-US" w:bidi="ar-SA"/>
    </w:rPr>
  </w:style>
  <w:style w:type="paragraph" w:customStyle="1" w:styleId="37">
    <w:name w:val="Содержимое врезки"/>
    <w:basedOn w:val="1"/>
    <w:qFormat/>
    <w:uiPriority w:val="0"/>
    <w:pPr>
      <w:suppressAutoHyphens/>
      <w:spacing w:after="200" w:line="276" w:lineRule="auto"/>
    </w:pPr>
    <w:rPr>
      <w:rFonts w:asciiTheme="minorHAnsi" w:hAnsiTheme="minorHAnsi" w:eastAsiaTheme="minorHAnsi" w:cstheme="minorBidi"/>
      <w:sz w:val="22"/>
      <w:szCs w:val="22"/>
      <w:lang w:eastAsia="en-US"/>
    </w:rPr>
  </w:style>
  <w:style w:type="paragraph" w:styleId="38">
    <w:name w:val="List Paragraph"/>
    <w:basedOn w:val="1"/>
    <w:qFormat/>
    <w:uiPriority w:val="34"/>
    <w:pPr>
      <w:suppressAutoHyphens/>
      <w:spacing w:after="200" w:line="276" w:lineRule="auto"/>
      <w:ind w:left="720"/>
      <w:contextualSpacing/>
    </w:pPr>
    <w:rPr>
      <w:rFonts w:asciiTheme="minorHAnsi" w:hAnsiTheme="minorHAnsi" w:eastAsiaTheme="minorHAnsi" w:cstheme="minorBidi"/>
      <w:sz w:val="22"/>
      <w:szCs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AB7AE43-836D-4736-ABF5-69C0AFAE34B9}">
  <ds:schemaRefs/>
</ds:datastoreItem>
</file>

<file path=docProps/app.xml><?xml version="1.0" encoding="utf-8"?>
<Properties xmlns="http://schemas.openxmlformats.org/officeDocument/2006/extended-properties" xmlns:vt="http://schemas.openxmlformats.org/officeDocument/2006/docPropsVTypes">
  <Template>Normal.dotm</Template>
  <Company>HP</Company>
  <Pages>37</Pages>
  <Words>7367</Words>
  <Characters>41997</Characters>
  <Lines>349</Lines>
  <Paragraphs>98</Paragraphs>
  <TotalTime>0</TotalTime>
  <ScaleCrop>false</ScaleCrop>
  <LinksUpToDate>false</LinksUpToDate>
  <CharactersWithSpaces>49266</CharactersWithSpaces>
  <Application>WPS Office_12.2.0.17119_F1E327BC-269C-435d-A152-05C5408002CA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2024-05-30T19:28:00Z</dcterms:created>
  <dc:creator>Андреева Полина</dc:creator>
  <cp:lastModifiedBy>Лариса Фишгойт</cp:lastModifiedBy>
  <dcterms:modified xsi:type="dcterms:W3CDTF">2024-06-14T14:05:39Z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1049-12.2.0.17119</vt:lpwstr>
  </property>
  <property fmtid="{D5CDD505-2E9C-101B-9397-08002B2CF9AE}" pid="3" name="ICV">
    <vt:lpwstr>7E033CA338574CE48C02BE7048A44394_13</vt:lpwstr>
  </property>
</Properties>
</file>